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4AEA" w14:textId="1F626D75" w:rsidR="006C03A0" w:rsidRDefault="006C03A0" w:rsidP="00143761">
      <w:pPr>
        <w:pBdr>
          <w:top w:val="single" w:sz="8" w:space="1" w:color="FFFFFF"/>
          <w:left w:val="single" w:sz="8" w:space="0" w:color="FFFFFF"/>
          <w:bottom w:val="single" w:sz="8" w:space="2" w:color="FFFFFF"/>
          <w:right w:val="single" w:sz="8" w:space="1" w:color="FFFFFF"/>
          <w:between w:val="single" w:sz="8" w:space="1" w:color="FFFFFF"/>
          <w:bar w:val="single" w:sz="8" w:color="FFFFFF"/>
        </w:pBdr>
        <w:rPr>
          <w:rFonts w:ascii="Calibri" w:eastAsia="Calibri" w:hAnsi="Calibri" w:cs="Calibri"/>
          <w:b/>
          <w:bCs/>
          <w:iCs/>
          <w:szCs w:val="22"/>
        </w:rPr>
      </w:pPr>
      <w:r w:rsidRPr="00EF59CD">
        <w:rPr>
          <w:rFonts w:ascii="Franklin Gothic Book" w:eastAsia="Franklin Gothic Book" w:hAnsi="Franklin Gothic Book" w:cs="Franklin Gothic Book"/>
          <w:noProof/>
          <w:color w:val="231F20"/>
          <w:szCs w:val="23"/>
          <w:lang w:eastAsia="en-GB"/>
        </w:rPr>
        <w:drawing>
          <wp:anchor distT="0" distB="0" distL="114300" distR="114300" simplePos="0" relativeHeight="251658240" behindDoc="0" locked="0" layoutInCell="1" allowOverlap="1" wp14:anchorId="3CAECF4D" wp14:editId="356FDC47">
            <wp:simplePos x="7162800" y="942975"/>
            <wp:positionH relativeFrom="column">
              <wp:posOffset>7172325</wp:posOffset>
            </wp:positionH>
            <wp:positionV relativeFrom="paragraph">
              <wp:align>top</wp:align>
            </wp:positionV>
            <wp:extent cx="777240" cy="682752"/>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anchor>
        </w:drawing>
      </w:r>
      <w:r w:rsidR="00143761">
        <w:rPr>
          <w:rFonts w:ascii="Calibri" w:eastAsia="Calibri" w:hAnsi="Calibri" w:cs="Calibri"/>
          <w:b/>
          <w:bCs/>
          <w:iCs/>
          <w:szCs w:val="22"/>
        </w:rPr>
        <w:br w:type="textWrapping" w:clear="all"/>
      </w:r>
    </w:p>
    <w:p w14:paraId="4D32FD66" w14:textId="7A2B898C"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jc w:val="center"/>
        <w:rPr>
          <w:rFonts w:ascii="Calibri" w:eastAsia="Calibri" w:hAnsi="Calibri" w:cs="Calibri"/>
          <w:b/>
          <w:bCs/>
          <w:iCs/>
          <w:szCs w:val="22"/>
        </w:rPr>
      </w:pPr>
      <w:r w:rsidRPr="0038583D">
        <w:rPr>
          <w:rFonts w:ascii="Calibri" w:eastAsia="Calibri" w:hAnsi="Calibri" w:cs="Calibri"/>
          <w:b/>
          <w:bCs/>
          <w:iCs/>
          <w:szCs w:val="22"/>
        </w:rPr>
        <w:t xml:space="preserve">University of Sussex Risk Assessment and Action Plan </w:t>
      </w:r>
      <w:r w:rsidR="002C45E4">
        <w:rPr>
          <w:rFonts w:ascii="Calibri" w:eastAsia="Calibri" w:hAnsi="Calibri" w:cs="Calibri"/>
          <w:b/>
          <w:bCs/>
          <w:iCs/>
          <w:szCs w:val="22"/>
        </w:rPr>
        <w:t>202</w:t>
      </w:r>
      <w:r w:rsidR="00734CD1">
        <w:rPr>
          <w:rFonts w:ascii="Calibri" w:eastAsia="Calibri" w:hAnsi="Calibri" w:cs="Calibri"/>
          <w:b/>
          <w:bCs/>
          <w:iCs/>
          <w:szCs w:val="22"/>
        </w:rPr>
        <w:t>2</w:t>
      </w:r>
      <w:r w:rsidR="002C45E4">
        <w:rPr>
          <w:rFonts w:ascii="Calibri" w:eastAsia="Calibri" w:hAnsi="Calibri" w:cs="Calibri"/>
          <w:b/>
          <w:bCs/>
          <w:iCs/>
          <w:szCs w:val="22"/>
        </w:rPr>
        <w:t>-2</w:t>
      </w:r>
      <w:r w:rsidR="00734CD1">
        <w:rPr>
          <w:rFonts w:ascii="Calibri" w:eastAsia="Calibri" w:hAnsi="Calibri" w:cs="Calibri"/>
          <w:b/>
          <w:bCs/>
          <w:iCs/>
          <w:szCs w:val="22"/>
        </w:rPr>
        <w:t>3</w:t>
      </w:r>
    </w:p>
    <w:p w14:paraId="38301EC7" w14:textId="77777777"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
          <w:bCs/>
          <w:iCs/>
          <w:sz w:val="16"/>
          <w:szCs w:val="16"/>
        </w:rPr>
      </w:pPr>
    </w:p>
    <w:p w14:paraId="29198146" w14:textId="77777777"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
          <w:bCs/>
          <w:iCs/>
          <w:szCs w:val="22"/>
        </w:rPr>
      </w:pPr>
      <w:r w:rsidRPr="0038583D">
        <w:rPr>
          <w:rFonts w:ascii="Calibri" w:eastAsia="Calibri" w:hAnsi="Calibri" w:cs="Calibri"/>
          <w:b/>
          <w:bCs/>
          <w:iCs/>
          <w:szCs w:val="22"/>
        </w:rPr>
        <w:t>Executive Oversight:</w:t>
      </w:r>
      <w:r w:rsidRPr="0038583D">
        <w:rPr>
          <w:rFonts w:ascii="Calibri" w:eastAsia="Calibri" w:hAnsi="Calibri" w:cs="Calibri"/>
          <w:b/>
          <w:bCs/>
          <w:iCs/>
          <w:szCs w:val="22"/>
        </w:rPr>
        <w:tab/>
      </w:r>
      <w:r w:rsidRPr="0038583D">
        <w:rPr>
          <w:rFonts w:ascii="Calibri" w:eastAsia="Calibri" w:hAnsi="Calibri" w:cs="Calibri"/>
          <w:b/>
          <w:bCs/>
          <w:iCs/>
          <w:szCs w:val="22"/>
        </w:rPr>
        <w:tab/>
        <w:t>University Council, Audit and Risk Committee, University Executive Group</w:t>
      </w:r>
    </w:p>
    <w:p w14:paraId="5281311F" w14:textId="77777777"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Cs/>
          <w:iCs/>
          <w:szCs w:val="22"/>
        </w:rPr>
      </w:pPr>
      <w:r w:rsidRPr="0038583D">
        <w:rPr>
          <w:rFonts w:ascii="Calibri" w:eastAsia="Calibri" w:hAnsi="Calibri" w:cs="Calibri"/>
          <w:b/>
          <w:bCs/>
          <w:iCs/>
          <w:szCs w:val="22"/>
        </w:rPr>
        <w:t>Approved by:</w:t>
      </w:r>
      <w:r w:rsidRPr="0038583D">
        <w:rPr>
          <w:rFonts w:ascii="Calibri" w:eastAsia="Calibri" w:hAnsi="Calibri" w:cs="Calibri"/>
          <w:b/>
          <w:bCs/>
          <w:iCs/>
          <w:szCs w:val="22"/>
        </w:rPr>
        <w:tab/>
      </w:r>
      <w:proofErr w:type="gramStart"/>
      <w:r w:rsidRPr="0038583D">
        <w:rPr>
          <w:rFonts w:ascii="Calibri" w:eastAsia="Calibri" w:hAnsi="Calibri" w:cs="Calibri"/>
          <w:b/>
          <w:bCs/>
          <w:iCs/>
          <w:szCs w:val="22"/>
        </w:rPr>
        <w:tab/>
        <w:t xml:space="preserve">  </w:t>
      </w:r>
      <w:r w:rsidRPr="0038583D">
        <w:rPr>
          <w:rFonts w:ascii="Calibri" w:eastAsia="Calibri" w:hAnsi="Calibri" w:cs="Calibri"/>
          <w:b/>
          <w:bCs/>
          <w:iCs/>
          <w:szCs w:val="22"/>
        </w:rPr>
        <w:tab/>
      </w:r>
      <w:proofErr w:type="gramEnd"/>
      <w:r w:rsidRPr="0038583D">
        <w:rPr>
          <w:rFonts w:ascii="Calibri" w:eastAsia="Calibri" w:hAnsi="Calibri" w:cs="Calibri"/>
          <w:bCs/>
          <w:iCs/>
          <w:szCs w:val="22"/>
        </w:rPr>
        <w:t>University Executive Group</w:t>
      </w:r>
    </w:p>
    <w:p w14:paraId="4146522C" w14:textId="77777777"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Cs/>
          <w:iCs/>
          <w:szCs w:val="22"/>
        </w:rPr>
      </w:pPr>
      <w:r w:rsidRPr="0038583D">
        <w:rPr>
          <w:rFonts w:ascii="Calibri" w:eastAsia="Calibri" w:hAnsi="Calibri" w:cs="Calibri"/>
          <w:b/>
          <w:bCs/>
          <w:iCs/>
          <w:szCs w:val="22"/>
        </w:rPr>
        <w:t xml:space="preserve">Date Approved:                         </w:t>
      </w:r>
      <w:r w:rsidRPr="0038583D">
        <w:rPr>
          <w:rFonts w:ascii="Calibri" w:eastAsia="Calibri" w:hAnsi="Calibri" w:cs="Calibri"/>
          <w:b/>
          <w:bCs/>
          <w:iCs/>
          <w:szCs w:val="22"/>
        </w:rPr>
        <w:tab/>
      </w:r>
      <w:r w:rsidRPr="0038583D">
        <w:rPr>
          <w:rFonts w:ascii="Calibri" w:eastAsia="Calibri" w:hAnsi="Calibri" w:cs="Calibri"/>
          <w:bCs/>
          <w:iCs/>
          <w:szCs w:val="22"/>
        </w:rPr>
        <w:t>16 March 2020</w:t>
      </w:r>
    </w:p>
    <w:p w14:paraId="6379C419" w14:textId="77777777" w:rsidR="004560E4" w:rsidRDefault="006C03A0" w:rsidP="00EE0FF6">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
          <w:bCs/>
          <w:iCs/>
          <w:szCs w:val="22"/>
        </w:rPr>
      </w:pPr>
      <w:r w:rsidRPr="0038583D">
        <w:rPr>
          <w:rFonts w:ascii="Calibri" w:eastAsia="Calibri" w:hAnsi="Calibri" w:cs="Calibri"/>
          <w:b/>
          <w:bCs/>
          <w:iCs/>
          <w:szCs w:val="22"/>
        </w:rPr>
        <w:t>Last Updated:</w:t>
      </w:r>
      <w:r w:rsidRPr="0038583D">
        <w:rPr>
          <w:rFonts w:ascii="Calibri" w:eastAsia="Calibri" w:hAnsi="Calibri" w:cs="Calibri"/>
          <w:b/>
          <w:bCs/>
          <w:iCs/>
          <w:szCs w:val="22"/>
        </w:rPr>
        <w:tab/>
      </w:r>
      <w:r w:rsidRPr="0038583D">
        <w:rPr>
          <w:rFonts w:ascii="Calibri" w:eastAsia="Calibri" w:hAnsi="Calibri" w:cs="Calibri"/>
          <w:b/>
          <w:bCs/>
          <w:iCs/>
          <w:szCs w:val="22"/>
        </w:rPr>
        <w:tab/>
      </w:r>
      <w:r w:rsidRPr="0038583D">
        <w:rPr>
          <w:rFonts w:ascii="Calibri" w:eastAsia="Calibri" w:hAnsi="Calibri" w:cs="Calibri"/>
          <w:b/>
          <w:bCs/>
          <w:iCs/>
          <w:szCs w:val="22"/>
        </w:rPr>
        <w:tab/>
      </w:r>
      <w:r w:rsidR="00EE0FF6">
        <w:rPr>
          <w:rFonts w:ascii="Calibri" w:eastAsia="Calibri" w:hAnsi="Calibri" w:cs="Calibri"/>
          <w:b/>
          <w:bCs/>
          <w:iCs/>
          <w:szCs w:val="22"/>
        </w:rPr>
        <w:t xml:space="preserve">23 June 2022 </w:t>
      </w:r>
    </w:p>
    <w:p w14:paraId="29E3006F" w14:textId="46130A2A" w:rsidR="006C03A0" w:rsidRPr="0038583D" w:rsidRDefault="006C03A0" w:rsidP="00EE0FF6">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Cs/>
          <w:iCs/>
          <w:szCs w:val="22"/>
        </w:rPr>
      </w:pPr>
      <w:r w:rsidRPr="0038583D">
        <w:rPr>
          <w:rFonts w:ascii="Calibri" w:eastAsia="Calibri" w:hAnsi="Calibri" w:cs="Calibri"/>
          <w:b/>
          <w:bCs/>
          <w:iCs/>
          <w:szCs w:val="22"/>
        </w:rPr>
        <w:t>Date of Next Full Review:</w:t>
      </w:r>
      <w:r w:rsidRPr="0038583D">
        <w:rPr>
          <w:rFonts w:ascii="Calibri" w:eastAsia="Calibri" w:hAnsi="Calibri" w:cs="Calibri"/>
          <w:b/>
          <w:bCs/>
          <w:iCs/>
          <w:szCs w:val="22"/>
        </w:rPr>
        <w:tab/>
      </w:r>
      <w:r w:rsidRPr="0038583D">
        <w:rPr>
          <w:rFonts w:ascii="Calibri" w:eastAsia="Calibri" w:hAnsi="Calibri" w:cs="Calibri"/>
          <w:bCs/>
          <w:iCs/>
          <w:szCs w:val="22"/>
        </w:rPr>
        <w:t>May 202</w:t>
      </w:r>
      <w:r w:rsidR="00392DAF">
        <w:rPr>
          <w:rFonts w:ascii="Calibri" w:eastAsia="Calibri" w:hAnsi="Calibri" w:cs="Calibri"/>
          <w:bCs/>
          <w:iCs/>
          <w:szCs w:val="22"/>
        </w:rPr>
        <w:t>3</w:t>
      </w:r>
    </w:p>
    <w:p w14:paraId="4C7B0AD0" w14:textId="77777777"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
          <w:bCs/>
          <w:iCs/>
          <w:sz w:val="16"/>
          <w:szCs w:val="16"/>
        </w:rPr>
      </w:pPr>
    </w:p>
    <w:p w14:paraId="275AAC80" w14:textId="77777777" w:rsidR="006C03A0" w:rsidRPr="0038583D" w:rsidRDefault="006C03A0" w:rsidP="006C03A0">
      <w:pPr>
        <w:pBdr>
          <w:top w:val="single" w:sz="8" w:space="1" w:color="FFFFFF"/>
          <w:left w:val="single" w:sz="8" w:space="0" w:color="FFFFFF"/>
          <w:bottom w:val="single" w:sz="8" w:space="2" w:color="FFFFFF"/>
          <w:right w:val="single" w:sz="8" w:space="1" w:color="FFFFFF"/>
          <w:between w:val="single" w:sz="8" w:space="1" w:color="FFFFFF"/>
          <w:bar w:val="single" w:sz="8" w:color="FFFFFF"/>
        </w:pBdr>
        <w:ind w:left="-567" w:right="-926"/>
        <w:rPr>
          <w:rFonts w:ascii="Calibri" w:eastAsia="Calibri" w:hAnsi="Calibri" w:cs="Calibri"/>
          <w:b/>
          <w:color w:val="7030A0"/>
          <w:szCs w:val="22"/>
        </w:rPr>
      </w:pPr>
      <w:r w:rsidRPr="00161C47">
        <w:rPr>
          <w:rFonts w:ascii="Calibri" w:eastAsia="Calibri" w:hAnsi="Calibri" w:cs="Calibri"/>
          <w:b/>
          <w:bCs/>
          <w:iCs/>
          <w:szCs w:val="22"/>
        </w:rPr>
        <w:t>B</w:t>
      </w:r>
      <w:r w:rsidRPr="0038583D">
        <w:rPr>
          <w:rFonts w:ascii="Calibri" w:eastAsia="Calibri" w:hAnsi="Calibri" w:cs="Calibri"/>
          <w:b/>
          <w:bCs/>
          <w:iCs/>
          <w:szCs w:val="22"/>
        </w:rPr>
        <w:t>ackground:</w:t>
      </w:r>
      <w:r w:rsidRPr="0038583D">
        <w:rPr>
          <w:rFonts w:ascii="Calibri" w:eastAsia="Calibri" w:hAnsi="Calibri" w:cs="Calibri"/>
          <w:b/>
          <w:color w:val="7030A0"/>
          <w:szCs w:val="22"/>
        </w:rPr>
        <w:t xml:space="preserve"> </w:t>
      </w:r>
    </w:p>
    <w:p w14:paraId="5C98634B" w14:textId="77777777" w:rsidR="006C03A0" w:rsidRPr="0038583D" w:rsidRDefault="006C03A0" w:rsidP="006C03A0">
      <w:pPr>
        <w:ind w:left="-567" w:right="-926"/>
        <w:rPr>
          <w:rFonts w:ascii="Calibri" w:eastAsia="Calibri" w:hAnsi="Calibri" w:cs="Calibri"/>
          <w:b/>
          <w:bCs/>
          <w:iCs/>
          <w:sz w:val="12"/>
          <w:szCs w:val="12"/>
        </w:rPr>
      </w:pPr>
    </w:p>
    <w:p w14:paraId="5D26284F" w14:textId="77777777" w:rsidR="006C03A0" w:rsidRPr="0038583D" w:rsidRDefault="006C03A0" w:rsidP="006C03A0">
      <w:pPr>
        <w:ind w:left="-567" w:right="-926"/>
        <w:rPr>
          <w:rFonts w:ascii="Calibri" w:hAnsi="Calibri" w:cs="Calibri"/>
          <w:bCs/>
          <w:iCs/>
          <w:szCs w:val="22"/>
          <w:lang w:eastAsia="en-GB"/>
        </w:rPr>
      </w:pPr>
      <w:r w:rsidRPr="0038583D">
        <w:rPr>
          <w:rFonts w:ascii="Calibri" w:hAnsi="Calibri" w:cs="Calibri"/>
          <w:bCs/>
          <w:iCs/>
          <w:szCs w:val="22"/>
          <w:lang w:eastAsia="en-GB"/>
        </w:rPr>
        <w:t xml:space="preserve">Section 26 of the </w:t>
      </w:r>
      <w:r w:rsidRPr="0038583D">
        <w:rPr>
          <w:rFonts w:ascii="Calibri" w:hAnsi="Calibri" w:cs="Calibri"/>
          <w:bCs/>
          <w:i/>
          <w:iCs/>
          <w:szCs w:val="22"/>
          <w:lang w:eastAsia="en-GB"/>
        </w:rPr>
        <w:t>Counter-Terrorism and Security Act 2015</w:t>
      </w:r>
      <w:r w:rsidRPr="0038583D">
        <w:rPr>
          <w:rFonts w:ascii="Calibri" w:hAnsi="Calibri" w:cs="Calibri"/>
          <w:bCs/>
          <w:iCs/>
          <w:szCs w:val="22"/>
          <w:lang w:eastAsia="en-GB"/>
        </w:rPr>
        <w:t xml:space="preserve"> (the Act) places a duty on certain bodies (“specified authorities” listed in Schedule 6 to the Act), in the exercise of their functions, to have “due regard to the need to prevent people from being drawn into terrorism”.</w:t>
      </w:r>
    </w:p>
    <w:p w14:paraId="1BE54667" w14:textId="77777777" w:rsidR="006C03A0" w:rsidRPr="0038583D" w:rsidRDefault="006C03A0" w:rsidP="006C03A0">
      <w:pPr>
        <w:ind w:left="-567" w:right="-926"/>
        <w:rPr>
          <w:rFonts w:ascii="Calibri" w:hAnsi="Calibri" w:cs="Calibri"/>
          <w:bCs/>
          <w:iCs/>
          <w:sz w:val="12"/>
          <w:szCs w:val="12"/>
          <w:lang w:eastAsia="en-GB"/>
        </w:rPr>
      </w:pPr>
    </w:p>
    <w:p w14:paraId="45CA9FE1" w14:textId="77777777" w:rsidR="006C03A0" w:rsidRPr="0038583D" w:rsidRDefault="006C03A0" w:rsidP="006C03A0">
      <w:pPr>
        <w:ind w:left="-567" w:right="-926"/>
        <w:rPr>
          <w:rFonts w:ascii="Calibri" w:hAnsi="Calibri" w:cs="Calibri"/>
          <w:bCs/>
          <w:iCs/>
          <w:szCs w:val="22"/>
          <w:lang w:eastAsia="en-GB"/>
        </w:rPr>
      </w:pPr>
      <w:r w:rsidRPr="0038583D">
        <w:rPr>
          <w:rFonts w:ascii="Calibri" w:hAnsi="Calibri" w:cs="Calibri"/>
          <w:bCs/>
          <w:iCs/>
          <w:szCs w:val="22"/>
          <w:lang w:eastAsia="en-GB"/>
        </w:rPr>
        <w:t>The 2011 National Prevent Strategy has three specific strategic objectives, to:</w:t>
      </w:r>
    </w:p>
    <w:p w14:paraId="09645900" w14:textId="77777777" w:rsidR="006C03A0" w:rsidRPr="0038583D" w:rsidRDefault="006C03A0" w:rsidP="006C03A0">
      <w:pPr>
        <w:numPr>
          <w:ilvl w:val="0"/>
          <w:numId w:val="1"/>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respond to the ideological challenge of terrorism and the threat we face from those who promote it;</w:t>
      </w:r>
    </w:p>
    <w:p w14:paraId="69B71BCE" w14:textId="77777777" w:rsidR="006C03A0" w:rsidRPr="0038583D" w:rsidRDefault="006C03A0" w:rsidP="006C03A0">
      <w:pPr>
        <w:numPr>
          <w:ilvl w:val="0"/>
          <w:numId w:val="1"/>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prevent people from being drawn into terrorism and ensure that they are given appropriate advice and support; and</w:t>
      </w:r>
    </w:p>
    <w:p w14:paraId="30B2A0A1" w14:textId="77777777" w:rsidR="006C03A0" w:rsidRPr="0038583D" w:rsidRDefault="006C03A0" w:rsidP="006C03A0">
      <w:pPr>
        <w:numPr>
          <w:ilvl w:val="0"/>
          <w:numId w:val="1"/>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work with sectors and institutions where there are risks of radicalisation that we need to address.</w:t>
      </w:r>
    </w:p>
    <w:p w14:paraId="4FC8FE74" w14:textId="77777777" w:rsidR="006C03A0" w:rsidRPr="0038583D" w:rsidRDefault="006C03A0" w:rsidP="006C03A0">
      <w:pPr>
        <w:ind w:left="-567" w:right="-926"/>
        <w:rPr>
          <w:rFonts w:ascii="Calibri" w:eastAsia="Calibri" w:hAnsi="Calibri" w:cs="Calibri"/>
          <w:bCs/>
          <w:iCs/>
          <w:sz w:val="12"/>
          <w:szCs w:val="12"/>
        </w:rPr>
      </w:pPr>
    </w:p>
    <w:p w14:paraId="6CD68A4B" w14:textId="77777777" w:rsidR="006C03A0" w:rsidRPr="0038583D" w:rsidRDefault="006C03A0" w:rsidP="006C03A0">
      <w:pPr>
        <w:ind w:left="-567" w:right="-926"/>
        <w:rPr>
          <w:rFonts w:ascii="Calibri" w:eastAsia="Calibri" w:hAnsi="Calibri" w:cs="Calibri"/>
          <w:bCs/>
          <w:iCs/>
          <w:szCs w:val="22"/>
        </w:rPr>
      </w:pPr>
      <w:r w:rsidRPr="0038583D">
        <w:rPr>
          <w:rFonts w:ascii="Calibri" w:eastAsia="Calibri" w:hAnsi="Calibri" w:cs="Calibri"/>
          <w:bCs/>
          <w:iCs/>
          <w:szCs w:val="22"/>
        </w:rPr>
        <w:t xml:space="preserve">In the Higher Education Sector, the Office for Students (OfS) monitors providers’ implementation of the statutory ‘Prevent duty’ in England. Relevant higher education providers are required to comply with the Prevent Monitoring Framework. </w:t>
      </w:r>
    </w:p>
    <w:p w14:paraId="7D845D7F" w14:textId="77777777" w:rsidR="006C03A0" w:rsidRPr="0038583D" w:rsidRDefault="006C03A0" w:rsidP="006C03A0">
      <w:pPr>
        <w:ind w:left="-567" w:right="-926"/>
        <w:rPr>
          <w:rFonts w:ascii="Calibri" w:hAnsi="Calibri" w:cs="Calibri"/>
          <w:bCs/>
          <w:iCs/>
          <w:sz w:val="24"/>
          <w:lang w:eastAsia="en-GB"/>
        </w:rPr>
      </w:pPr>
    </w:p>
    <w:p w14:paraId="5A03D3E3" w14:textId="77777777" w:rsidR="006C03A0" w:rsidRPr="0038583D" w:rsidRDefault="006C03A0" w:rsidP="006C03A0">
      <w:pPr>
        <w:ind w:left="-567" w:right="-926"/>
        <w:rPr>
          <w:rFonts w:ascii="Calibri" w:eastAsia="Calibri" w:hAnsi="Calibri" w:cs="Calibri"/>
          <w:b/>
          <w:color w:val="333333"/>
          <w:szCs w:val="22"/>
        </w:rPr>
      </w:pPr>
      <w:r w:rsidRPr="0038583D">
        <w:rPr>
          <w:rFonts w:ascii="Calibri" w:eastAsia="Calibri" w:hAnsi="Calibri" w:cs="Calibri"/>
          <w:b/>
          <w:color w:val="333333"/>
          <w:szCs w:val="22"/>
        </w:rPr>
        <w:t xml:space="preserve">University of Sussex Risk Assessment and Action Plan: </w:t>
      </w:r>
    </w:p>
    <w:p w14:paraId="5FE483F4" w14:textId="77777777" w:rsidR="006C03A0" w:rsidRPr="0038583D" w:rsidRDefault="006C03A0" w:rsidP="006C03A0">
      <w:pPr>
        <w:ind w:left="-567" w:right="-926"/>
        <w:rPr>
          <w:rFonts w:ascii="Calibri" w:eastAsia="Calibri" w:hAnsi="Calibri" w:cs="Calibri"/>
          <w:b/>
          <w:color w:val="333333"/>
          <w:sz w:val="12"/>
          <w:szCs w:val="12"/>
        </w:rPr>
      </w:pPr>
    </w:p>
    <w:p w14:paraId="5CA71556" w14:textId="77777777" w:rsidR="006C03A0" w:rsidRPr="0038583D" w:rsidRDefault="006C03A0" w:rsidP="006C03A0">
      <w:pPr>
        <w:ind w:left="-567" w:right="-926"/>
        <w:rPr>
          <w:rFonts w:ascii="Calibri" w:eastAsia="Calibri" w:hAnsi="Calibri" w:cs="Calibri"/>
          <w:color w:val="333333"/>
          <w:szCs w:val="22"/>
        </w:rPr>
      </w:pPr>
      <w:r w:rsidRPr="0038583D">
        <w:rPr>
          <w:rFonts w:ascii="Calibri" w:eastAsia="Calibri" w:hAnsi="Calibri" w:cs="Calibri"/>
          <w:color w:val="333333"/>
          <w:szCs w:val="22"/>
        </w:rPr>
        <w:t>Drawing on our compliance obligations, the National Prevent Objectives and consultation with our external partners and key staff and students, this risk assessment and action plan is situated within the University’s specific local and HE sector context.  The approach taken is:</w:t>
      </w:r>
    </w:p>
    <w:p w14:paraId="10EA5B16" w14:textId="77777777" w:rsidR="006C03A0" w:rsidRPr="0038583D" w:rsidRDefault="006C03A0" w:rsidP="006C03A0">
      <w:pPr>
        <w:ind w:left="-567" w:right="-926"/>
        <w:rPr>
          <w:rFonts w:ascii="Calibri" w:eastAsia="Calibri" w:hAnsi="Calibri" w:cs="Calibri"/>
          <w:i/>
          <w:color w:val="333333"/>
          <w:sz w:val="12"/>
          <w:szCs w:val="12"/>
        </w:rPr>
      </w:pPr>
    </w:p>
    <w:p w14:paraId="09B5227A" w14:textId="77777777" w:rsidR="006C03A0" w:rsidRPr="0038583D" w:rsidRDefault="006C03A0" w:rsidP="006C03A0">
      <w:pPr>
        <w:ind w:left="-567" w:right="-926"/>
        <w:rPr>
          <w:rFonts w:ascii="Calibri" w:eastAsia="Calibri" w:hAnsi="Calibri" w:cs="Calibri"/>
          <w:i/>
          <w:color w:val="333333"/>
          <w:sz w:val="12"/>
          <w:szCs w:val="12"/>
        </w:rPr>
      </w:pPr>
    </w:p>
    <w:p w14:paraId="04F860BD" w14:textId="77777777" w:rsidR="006C03A0" w:rsidRPr="0038583D" w:rsidRDefault="006C03A0" w:rsidP="006C03A0">
      <w:pPr>
        <w:ind w:left="-567" w:right="-926"/>
        <w:rPr>
          <w:rFonts w:ascii="Calibri" w:eastAsia="Calibri" w:hAnsi="Calibri" w:cs="Calibri"/>
          <w:i/>
          <w:color w:val="333333"/>
          <w:sz w:val="12"/>
          <w:szCs w:val="12"/>
        </w:rPr>
      </w:pPr>
    </w:p>
    <w:p w14:paraId="47A3F1E6" w14:textId="77777777" w:rsidR="006C03A0" w:rsidRPr="0038583D" w:rsidRDefault="006C03A0" w:rsidP="006C03A0">
      <w:pPr>
        <w:numPr>
          <w:ilvl w:val="0"/>
          <w:numId w:val="2"/>
        </w:numPr>
        <w:spacing w:after="200" w:line="276" w:lineRule="auto"/>
        <w:ind w:right="-926"/>
        <w:contextualSpacing/>
        <w:rPr>
          <w:rFonts w:ascii="Calibri" w:hAnsi="Calibri" w:cs="Calibri"/>
          <w:bCs/>
          <w:iCs/>
          <w:sz w:val="24"/>
          <w:lang w:eastAsia="en-GB"/>
        </w:rPr>
      </w:pPr>
      <w:r w:rsidRPr="0038583D">
        <w:rPr>
          <w:rFonts w:ascii="Calibri" w:hAnsi="Calibri" w:cs="Calibri"/>
          <w:b/>
          <w:color w:val="333333"/>
          <w:sz w:val="24"/>
          <w:lang w:eastAsia="en-GB"/>
        </w:rPr>
        <w:t>Informed</w:t>
      </w:r>
      <w:r w:rsidRPr="0038583D">
        <w:rPr>
          <w:rFonts w:ascii="Calibri" w:hAnsi="Calibri" w:cs="Calibri"/>
          <w:color w:val="333333"/>
          <w:sz w:val="24"/>
          <w:lang w:eastAsia="en-GB"/>
        </w:rPr>
        <w:t>: by our students and our external partners;</w:t>
      </w:r>
    </w:p>
    <w:p w14:paraId="7783EA14" w14:textId="77777777" w:rsidR="006C03A0" w:rsidRPr="0038583D" w:rsidRDefault="006C03A0" w:rsidP="006C03A0">
      <w:pPr>
        <w:numPr>
          <w:ilvl w:val="0"/>
          <w:numId w:val="2"/>
        </w:numPr>
        <w:spacing w:after="200" w:line="276" w:lineRule="auto"/>
        <w:ind w:right="-926"/>
        <w:contextualSpacing/>
        <w:rPr>
          <w:rFonts w:ascii="Calibri" w:hAnsi="Calibri" w:cs="Calibri"/>
          <w:bCs/>
          <w:iCs/>
          <w:sz w:val="24"/>
          <w:lang w:eastAsia="en-GB"/>
        </w:rPr>
      </w:pPr>
      <w:r w:rsidRPr="0038583D">
        <w:rPr>
          <w:rFonts w:ascii="Calibri" w:hAnsi="Calibri" w:cs="Calibri"/>
          <w:b/>
          <w:color w:val="333333"/>
          <w:sz w:val="24"/>
          <w:lang w:eastAsia="en-GB"/>
        </w:rPr>
        <w:t>Risk Based</w:t>
      </w:r>
      <w:r w:rsidRPr="0038583D">
        <w:rPr>
          <w:rFonts w:ascii="Calibri" w:hAnsi="Calibri" w:cs="Calibri"/>
          <w:color w:val="333333"/>
          <w:sz w:val="24"/>
          <w:lang w:eastAsia="en-GB"/>
        </w:rPr>
        <w:t>: Drawing on our specific sector, local and institutional risk environment;</w:t>
      </w:r>
    </w:p>
    <w:p w14:paraId="1AB80631" w14:textId="77777777" w:rsidR="006C03A0" w:rsidRPr="0038583D" w:rsidRDefault="006C03A0" w:rsidP="006C03A0">
      <w:pPr>
        <w:numPr>
          <w:ilvl w:val="0"/>
          <w:numId w:val="2"/>
        </w:numPr>
        <w:spacing w:after="200" w:line="276" w:lineRule="auto"/>
        <w:ind w:right="-926"/>
        <w:contextualSpacing/>
        <w:rPr>
          <w:rFonts w:ascii="Calibri" w:hAnsi="Calibri" w:cs="Calibri"/>
          <w:bCs/>
          <w:iCs/>
          <w:sz w:val="24"/>
          <w:lang w:eastAsia="en-GB"/>
        </w:rPr>
      </w:pPr>
      <w:r w:rsidRPr="0038583D">
        <w:rPr>
          <w:rFonts w:ascii="Calibri" w:hAnsi="Calibri" w:cs="Calibri"/>
          <w:b/>
          <w:bCs/>
          <w:iCs/>
          <w:sz w:val="24"/>
          <w:lang w:eastAsia="en-GB"/>
        </w:rPr>
        <w:t>Proportionate:</w:t>
      </w:r>
      <w:r w:rsidRPr="0038583D">
        <w:rPr>
          <w:rFonts w:ascii="Calibri" w:hAnsi="Calibri" w:cs="Calibri"/>
          <w:bCs/>
          <w:iCs/>
          <w:sz w:val="24"/>
          <w:lang w:eastAsia="en-GB"/>
        </w:rPr>
        <w:t xml:space="preserve"> in its assessment and mitigation of risk;</w:t>
      </w:r>
    </w:p>
    <w:p w14:paraId="20D24245" w14:textId="77777777" w:rsidR="006C03A0" w:rsidRPr="0038583D" w:rsidRDefault="006C03A0" w:rsidP="006C03A0">
      <w:pPr>
        <w:numPr>
          <w:ilvl w:val="0"/>
          <w:numId w:val="2"/>
        </w:numPr>
        <w:spacing w:after="200" w:line="276" w:lineRule="auto"/>
        <w:ind w:right="-926"/>
        <w:contextualSpacing/>
        <w:rPr>
          <w:rFonts w:ascii="Calibri" w:hAnsi="Calibri" w:cs="Calibri"/>
          <w:bCs/>
          <w:iCs/>
          <w:sz w:val="24"/>
          <w:lang w:eastAsia="en-GB"/>
        </w:rPr>
      </w:pPr>
      <w:r w:rsidRPr="0038583D">
        <w:rPr>
          <w:rFonts w:ascii="Calibri" w:hAnsi="Calibri" w:cs="Calibri"/>
          <w:b/>
          <w:bCs/>
          <w:iCs/>
          <w:sz w:val="24"/>
          <w:lang w:eastAsia="en-GB"/>
        </w:rPr>
        <w:t>Flexible:</w:t>
      </w:r>
      <w:r w:rsidRPr="0038583D">
        <w:rPr>
          <w:rFonts w:ascii="Calibri" w:hAnsi="Calibri" w:cs="Calibri"/>
          <w:bCs/>
          <w:iCs/>
          <w:sz w:val="24"/>
          <w:lang w:eastAsia="en-GB"/>
        </w:rPr>
        <w:t xml:space="preserve"> to respond to emerging threats and issues (ongoing and dynamic risk assessment);</w:t>
      </w:r>
    </w:p>
    <w:p w14:paraId="3D451AF2" w14:textId="77777777" w:rsidR="006C03A0" w:rsidRPr="0038583D" w:rsidRDefault="006C03A0" w:rsidP="006C03A0">
      <w:pPr>
        <w:numPr>
          <w:ilvl w:val="0"/>
          <w:numId w:val="2"/>
        </w:numPr>
        <w:spacing w:after="200" w:line="276" w:lineRule="auto"/>
        <w:ind w:right="-926"/>
        <w:contextualSpacing/>
        <w:rPr>
          <w:rFonts w:ascii="Calibri" w:hAnsi="Calibri" w:cs="Calibri"/>
          <w:b/>
          <w:bCs/>
          <w:iCs/>
          <w:sz w:val="24"/>
          <w:lang w:eastAsia="en-GB"/>
        </w:rPr>
      </w:pPr>
      <w:r w:rsidRPr="0038583D">
        <w:rPr>
          <w:rFonts w:ascii="Calibri" w:hAnsi="Calibri" w:cs="Calibri"/>
          <w:b/>
          <w:bCs/>
          <w:iCs/>
          <w:sz w:val="24"/>
          <w:lang w:eastAsia="en-GB"/>
        </w:rPr>
        <w:t>Transparent</w:t>
      </w:r>
      <w:r w:rsidRPr="0038583D">
        <w:rPr>
          <w:rFonts w:ascii="Calibri" w:hAnsi="Calibri" w:cs="Calibri"/>
          <w:bCs/>
          <w:iCs/>
          <w:sz w:val="24"/>
          <w:lang w:eastAsia="en-GB"/>
        </w:rPr>
        <w:t>: In the assessment or risk and the communication and implementation of actions.</w:t>
      </w:r>
      <w:r w:rsidRPr="0038583D">
        <w:rPr>
          <w:rFonts w:ascii="Calibri" w:hAnsi="Calibri" w:cs="Calibri"/>
          <w:b/>
          <w:bCs/>
          <w:iCs/>
          <w:sz w:val="24"/>
          <w:lang w:eastAsia="en-GB"/>
        </w:rPr>
        <w:t xml:space="preserve"> </w:t>
      </w:r>
    </w:p>
    <w:p w14:paraId="1F279380" w14:textId="77777777" w:rsidR="006C03A0" w:rsidRPr="0038583D" w:rsidRDefault="006C03A0" w:rsidP="006C03A0">
      <w:pPr>
        <w:ind w:left="-567" w:right="-926"/>
        <w:rPr>
          <w:rFonts w:ascii="Calibri" w:eastAsia="Calibri" w:hAnsi="Calibri" w:cs="Calibri"/>
          <w:b/>
          <w:bCs/>
          <w:iCs/>
          <w:sz w:val="2"/>
          <w:szCs w:val="2"/>
        </w:rPr>
      </w:pPr>
    </w:p>
    <w:p w14:paraId="4C526A52" w14:textId="77777777" w:rsidR="006C03A0" w:rsidRPr="0038583D" w:rsidRDefault="006C03A0" w:rsidP="006C03A0">
      <w:pPr>
        <w:ind w:left="-567" w:right="-926"/>
        <w:rPr>
          <w:rFonts w:ascii="Calibri" w:eastAsia="Calibri" w:hAnsi="Calibri" w:cs="Calibri"/>
          <w:b/>
          <w:bCs/>
          <w:iCs/>
          <w:sz w:val="16"/>
          <w:szCs w:val="16"/>
        </w:rPr>
      </w:pPr>
    </w:p>
    <w:p w14:paraId="10C596F2" w14:textId="77777777" w:rsidR="006C03A0" w:rsidRPr="0038583D" w:rsidRDefault="006C03A0" w:rsidP="006C03A0">
      <w:pPr>
        <w:ind w:left="-567" w:right="-926"/>
        <w:rPr>
          <w:rFonts w:ascii="Calibri" w:eastAsia="Calibri" w:hAnsi="Calibri" w:cs="Calibri"/>
          <w:b/>
          <w:bCs/>
          <w:iCs/>
          <w:szCs w:val="22"/>
        </w:rPr>
      </w:pPr>
      <w:r w:rsidRPr="0038583D">
        <w:rPr>
          <w:rFonts w:ascii="Calibri" w:eastAsia="Calibri" w:hAnsi="Calibri" w:cs="Calibri"/>
          <w:b/>
          <w:bCs/>
          <w:iCs/>
          <w:szCs w:val="22"/>
        </w:rPr>
        <w:t>Local and Sector Risk Context:</w:t>
      </w:r>
    </w:p>
    <w:p w14:paraId="073C7C83" w14:textId="77777777" w:rsidR="006C03A0" w:rsidRPr="0038583D" w:rsidRDefault="006C03A0" w:rsidP="006C03A0">
      <w:pPr>
        <w:ind w:left="-567" w:right="-926"/>
        <w:rPr>
          <w:rFonts w:ascii="Calibri" w:eastAsia="Calibri" w:hAnsi="Calibri" w:cs="Calibri"/>
          <w:b/>
          <w:bCs/>
          <w:iCs/>
          <w:sz w:val="12"/>
          <w:szCs w:val="12"/>
        </w:rPr>
      </w:pPr>
    </w:p>
    <w:p w14:paraId="368162B7" w14:textId="01CE7BED" w:rsidR="006C03A0" w:rsidRPr="0038583D" w:rsidRDefault="006C03A0" w:rsidP="00030F3B">
      <w:pPr>
        <w:ind w:left="-567" w:right="-926"/>
        <w:rPr>
          <w:rFonts w:ascii="Calibri" w:eastAsia="Calibri" w:hAnsi="Calibri" w:cs="Calibri"/>
          <w:bCs/>
          <w:iCs/>
          <w:szCs w:val="22"/>
        </w:rPr>
      </w:pPr>
      <w:r w:rsidRPr="0038583D">
        <w:rPr>
          <w:rFonts w:ascii="Calibri" w:eastAsia="Calibri" w:hAnsi="Calibri" w:cs="Calibri"/>
          <w:bCs/>
          <w:iCs/>
          <w:szCs w:val="22"/>
        </w:rPr>
        <w:t>The University monitors the local Prevent context through participation in the Brighton and Hove Prevent Board run by the City Council and involving, education, health, law enforcement and local government representatives and through regular liaison with our DfE Regional Prevent Coordinator. In turn, the University shares information about Prevent concerns with the group and contributes to the Counter Terrorism Local Profile (CTLP). Police information briefings, OfS briefs and Channel referral trends also form part of the risk context assessment.  Risks are assessed using the University’s Risk Assessment Matrix (refer Appendix 1)</w:t>
      </w:r>
      <w:r w:rsidR="0055586F">
        <w:rPr>
          <w:rFonts w:ascii="Calibri" w:eastAsia="Calibri" w:hAnsi="Calibri" w:cs="Calibri"/>
          <w:bCs/>
          <w:iCs/>
          <w:szCs w:val="22"/>
        </w:rPr>
        <w:t>.</w:t>
      </w:r>
      <w:r w:rsidRPr="0038583D">
        <w:rPr>
          <w:rFonts w:ascii="Calibri" w:eastAsia="Calibri" w:hAnsi="Calibri" w:cs="Calibri"/>
          <w:bCs/>
          <w:iCs/>
          <w:szCs w:val="22"/>
        </w:rPr>
        <w:t xml:space="preserve"> </w:t>
      </w:r>
    </w:p>
    <w:p w14:paraId="1CB4D801" w14:textId="77777777" w:rsidR="006C03A0" w:rsidRPr="0038583D" w:rsidRDefault="006C03A0" w:rsidP="006C03A0">
      <w:pPr>
        <w:ind w:left="-567" w:right="-926"/>
        <w:rPr>
          <w:rFonts w:ascii="Calibri" w:eastAsia="Calibri" w:hAnsi="Calibri" w:cs="Calibri"/>
          <w:bCs/>
          <w:iCs/>
          <w:szCs w:val="22"/>
        </w:rPr>
      </w:pPr>
    </w:p>
    <w:p w14:paraId="310D2EE5" w14:textId="77777777" w:rsidR="006C03A0" w:rsidRPr="0038583D" w:rsidRDefault="006C03A0" w:rsidP="006C03A0">
      <w:pPr>
        <w:ind w:left="-567" w:right="-926"/>
        <w:rPr>
          <w:rFonts w:ascii="Calibri" w:eastAsia="Calibri" w:hAnsi="Calibri" w:cs="Calibri"/>
          <w:bCs/>
          <w:iCs/>
          <w:szCs w:val="22"/>
        </w:rPr>
      </w:pPr>
      <w:r w:rsidRPr="0038583D">
        <w:rPr>
          <w:rFonts w:ascii="Calibri" w:eastAsia="Calibri" w:hAnsi="Calibri" w:cs="Calibri"/>
          <w:bCs/>
          <w:iCs/>
          <w:szCs w:val="22"/>
        </w:rPr>
        <w:t>In the Brighton and Hove area, local Prevent activities relevant to the University include the potential influence of the far right in terms of graffiti and online material drawing in vulnerable individuals and the potential for protesters to be influenced by extremists seeking to subvert a specific issue to promote proscribed groups and activities.  To address this the University pays specific attention to online activities of students on websites containing extremist material (see Risk No 2.1), monitors external speakers who may have links to extremist groups (see Risk No. 2.2), and makes appropriate referrals and educates staff so that they are aware of far-right symbols which might appear on campus or be displayed on an individual (see Risk No. 1.2).</w:t>
      </w:r>
    </w:p>
    <w:p w14:paraId="61CCC8FA" w14:textId="77777777" w:rsidR="006C03A0" w:rsidRPr="0038583D" w:rsidRDefault="006C03A0" w:rsidP="006C03A0">
      <w:pPr>
        <w:ind w:left="-567" w:right="-926"/>
        <w:rPr>
          <w:rFonts w:ascii="Calibri" w:eastAsia="Calibri" w:hAnsi="Calibri" w:cs="Calibri"/>
          <w:bCs/>
          <w:iCs/>
          <w:sz w:val="16"/>
          <w:szCs w:val="16"/>
        </w:rPr>
      </w:pPr>
    </w:p>
    <w:p w14:paraId="08470B18" w14:textId="77777777" w:rsidR="006C03A0" w:rsidRPr="0038583D" w:rsidRDefault="006C03A0" w:rsidP="006C03A0">
      <w:pPr>
        <w:ind w:left="-567" w:right="-926"/>
        <w:rPr>
          <w:rFonts w:ascii="Calibri" w:eastAsia="Calibri" w:hAnsi="Calibri" w:cs="Calibri"/>
          <w:bCs/>
          <w:iCs/>
          <w:szCs w:val="22"/>
        </w:rPr>
      </w:pPr>
      <w:r w:rsidRPr="0038583D">
        <w:rPr>
          <w:rFonts w:ascii="Calibri" w:eastAsia="Calibri" w:hAnsi="Calibri" w:cs="Calibri"/>
          <w:bCs/>
          <w:iCs/>
          <w:szCs w:val="22"/>
        </w:rPr>
        <w:t>The University also regularly liaises with our DfE Regional Prevent Coordinator who has provided training and advice to staff and kept the Prevent Lead abreast of emerging trends and issues.  Information is also shared with University partners working with our students such as Study Group, IDS, and the University of Brighton (for example through our joint Medical School; see Risk Nos.1.4 and 3.1)</w:t>
      </w:r>
    </w:p>
    <w:p w14:paraId="28815D41" w14:textId="77777777" w:rsidR="006C03A0" w:rsidRPr="0038583D" w:rsidRDefault="006C03A0" w:rsidP="006C03A0">
      <w:pPr>
        <w:ind w:left="-567" w:right="-926"/>
        <w:rPr>
          <w:rFonts w:ascii="Calibri" w:eastAsia="Calibri" w:hAnsi="Calibri" w:cs="Calibri"/>
          <w:bCs/>
          <w:iCs/>
          <w:color w:val="FF0000"/>
          <w:szCs w:val="22"/>
        </w:rPr>
      </w:pPr>
    </w:p>
    <w:p w14:paraId="05E34FAC" w14:textId="77777777" w:rsidR="006C03A0" w:rsidRPr="0038583D" w:rsidRDefault="006C03A0" w:rsidP="006C03A0">
      <w:pPr>
        <w:ind w:left="-567" w:right="-926"/>
        <w:rPr>
          <w:rFonts w:ascii="Calibri" w:eastAsia="Calibri" w:hAnsi="Calibri" w:cs="Calibri"/>
          <w:b/>
          <w:bCs/>
          <w:iCs/>
          <w:szCs w:val="22"/>
        </w:rPr>
      </w:pPr>
      <w:r w:rsidRPr="0038583D">
        <w:rPr>
          <w:rFonts w:ascii="Calibri" w:eastAsia="Calibri" w:hAnsi="Calibri" w:cs="Calibri"/>
          <w:b/>
          <w:bCs/>
          <w:iCs/>
          <w:szCs w:val="22"/>
        </w:rPr>
        <w:t>Consultation:</w:t>
      </w:r>
    </w:p>
    <w:p w14:paraId="7C7430C7" w14:textId="77777777" w:rsidR="006C03A0" w:rsidRPr="0038583D" w:rsidRDefault="006C03A0" w:rsidP="006C03A0">
      <w:pPr>
        <w:ind w:left="-567" w:right="-926"/>
        <w:rPr>
          <w:rFonts w:ascii="Calibri" w:eastAsia="Calibri" w:hAnsi="Calibri" w:cs="Calibri"/>
          <w:b/>
          <w:bCs/>
          <w:iCs/>
          <w:sz w:val="12"/>
          <w:szCs w:val="12"/>
        </w:rPr>
      </w:pPr>
    </w:p>
    <w:p w14:paraId="10804472" w14:textId="77777777" w:rsidR="006C03A0" w:rsidRPr="0038583D" w:rsidRDefault="006C03A0" w:rsidP="006C03A0">
      <w:pPr>
        <w:ind w:left="-567" w:right="-926"/>
        <w:rPr>
          <w:rFonts w:ascii="Calibri" w:eastAsia="Calibri" w:hAnsi="Calibri" w:cs="Calibri"/>
          <w:bCs/>
          <w:iCs/>
          <w:szCs w:val="22"/>
        </w:rPr>
      </w:pPr>
      <w:r w:rsidRPr="0038583D">
        <w:rPr>
          <w:rFonts w:ascii="Calibri" w:eastAsia="Calibri" w:hAnsi="Calibri" w:cs="Calibri"/>
          <w:bCs/>
          <w:iCs/>
          <w:szCs w:val="22"/>
        </w:rPr>
        <w:t>This Risk Assessment and Action Plan has been produced in consultation with the following Stakeholders:</w:t>
      </w:r>
    </w:p>
    <w:p w14:paraId="23CE9086" w14:textId="77777777" w:rsidR="006C03A0" w:rsidRPr="0038583D" w:rsidRDefault="006C03A0" w:rsidP="006C03A0">
      <w:pPr>
        <w:ind w:left="-567" w:right="-926"/>
        <w:rPr>
          <w:rFonts w:ascii="Calibri" w:eastAsia="Calibri" w:hAnsi="Calibri" w:cs="Calibri"/>
          <w:bCs/>
          <w:iCs/>
          <w:sz w:val="16"/>
          <w:szCs w:val="16"/>
        </w:rPr>
      </w:pPr>
    </w:p>
    <w:p w14:paraId="468B269E" w14:textId="77777777" w:rsidR="006C03A0" w:rsidRPr="0038583D" w:rsidRDefault="006C03A0" w:rsidP="006C03A0">
      <w:pPr>
        <w:numPr>
          <w:ilvl w:val="0"/>
          <w:numId w:val="3"/>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University of Sussex Prevent Steering Group</w:t>
      </w:r>
    </w:p>
    <w:p w14:paraId="63554F3E" w14:textId="77777777" w:rsidR="006C03A0" w:rsidRPr="0038583D" w:rsidRDefault="006C03A0" w:rsidP="006C03A0">
      <w:pPr>
        <w:numPr>
          <w:ilvl w:val="0"/>
          <w:numId w:val="3"/>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Brighton and Hove City Council</w:t>
      </w:r>
    </w:p>
    <w:p w14:paraId="5ACDE12D" w14:textId="77777777" w:rsidR="006C03A0" w:rsidRPr="0038583D" w:rsidRDefault="006C03A0" w:rsidP="006C03A0">
      <w:pPr>
        <w:numPr>
          <w:ilvl w:val="0"/>
          <w:numId w:val="3"/>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Department for Education Regional Prevent Coordinator</w:t>
      </w:r>
    </w:p>
    <w:p w14:paraId="27446B84" w14:textId="77777777" w:rsidR="006C03A0" w:rsidRPr="0038583D" w:rsidRDefault="006C03A0" w:rsidP="006C03A0">
      <w:pPr>
        <w:numPr>
          <w:ilvl w:val="0"/>
          <w:numId w:val="3"/>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University of Sussex Student Union, through the Executive Liaison Group.</w:t>
      </w:r>
    </w:p>
    <w:p w14:paraId="06DD7D93" w14:textId="77777777" w:rsidR="006C03A0" w:rsidRPr="0038583D" w:rsidRDefault="006C03A0" w:rsidP="006C03A0">
      <w:pPr>
        <w:numPr>
          <w:ilvl w:val="0"/>
          <w:numId w:val="3"/>
        </w:numPr>
        <w:spacing w:after="200" w:line="276" w:lineRule="auto"/>
        <w:ind w:right="-926"/>
        <w:contextualSpacing/>
        <w:rPr>
          <w:rFonts w:ascii="Calibri" w:hAnsi="Calibri" w:cs="Calibri"/>
          <w:bCs/>
          <w:iCs/>
          <w:sz w:val="24"/>
          <w:lang w:eastAsia="en-GB"/>
        </w:rPr>
      </w:pPr>
      <w:r w:rsidRPr="0038583D">
        <w:rPr>
          <w:rFonts w:ascii="Calibri" w:hAnsi="Calibri" w:cs="Calibri"/>
          <w:bCs/>
          <w:iCs/>
          <w:sz w:val="24"/>
          <w:lang w:eastAsia="en-GB"/>
        </w:rPr>
        <w:t>University of Sussex Executive Group (UEG)</w:t>
      </w:r>
    </w:p>
    <w:p w14:paraId="7A2722FA" w14:textId="77777777" w:rsidR="006C03A0" w:rsidRPr="0038583D" w:rsidRDefault="006C03A0" w:rsidP="006C03A0">
      <w:pPr>
        <w:ind w:left="-546"/>
        <w:rPr>
          <w:rFonts w:ascii="Calibri" w:eastAsia="Calibri" w:hAnsi="Calibri" w:cs="Calibri"/>
          <w:bCs/>
          <w:iCs/>
          <w:sz w:val="16"/>
          <w:szCs w:val="16"/>
        </w:rPr>
      </w:pPr>
    </w:p>
    <w:p w14:paraId="4A75C1F6" w14:textId="77777777" w:rsidR="006C03A0" w:rsidRPr="0038583D" w:rsidRDefault="006C03A0" w:rsidP="006C03A0">
      <w:pPr>
        <w:ind w:left="-546"/>
        <w:rPr>
          <w:rFonts w:ascii="Calibri" w:eastAsia="Calibri" w:hAnsi="Calibri" w:cs="Calibri"/>
          <w:bCs/>
          <w:iCs/>
          <w:szCs w:val="22"/>
        </w:rPr>
      </w:pPr>
      <w:r w:rsidRPr="0038583D">
        <w:rPr>
          <w:rFonts w:ascii="Calibri" w:eastAsia="Calibri" w:hAnsi="Calibri" w:cs="Calibri"/>
          <w:bCs/>
          <w:iCs/>
          <w:szCs w:val="22"/>
        </w:rPr>
        <w:t xml:space="preserve">Feedback from these groups and individuals has contributed to risk identification and assessment and to actions and strategies outlined below. </w:t>
      </w:r>
    </w:p>
    <w:p w14:paraId="229EDEFF" w14:textId="77777777" w:rsidR="006C03A0" w:rsidRPr="0038583D" w:rsidRDefault="006C03A0" w:rsidP="006C03A0">
      <w:pPr>
        <w:ind w:left="-546"/>
        <w:rPr>
          <w:rFonts w:ascii="Calibri" w:eastAsia="Calibri" w:hAnsi="Calibri" w:cs="Calibri"/>
          <w:bCs/>
          <w:iCs/>
          <w:color w:val="FF0000"/>
          <w:szCs w:val="22"/>
        </w:rPr>
      </w:pPr>
    </w:p>
    <w:p w14:paraId="43DDB44E" w14:textId="77777777" w:rsidR="006C03A0" w:rsidRPr="0038583D" w:rsidRDefault="006C03A0" w:rsidP="006C03A0">
      <w:pPr>
        <w:ind w:left="-546"/>
        <w:rPr>
          <w:rFonts w:ascii="Calibri" w:eastAsia="Calibri" w:hAnsi="Calibri" w:cs="Calibri"/>
          <w:b/>
          <w:bCs/>
          <w:iCs/>
          <w:szCs w:val="22"/>
        </w:rPr>
      </w:pPr>
    </w:p>
    <w:p w14:paraId="2B5ADBBF" w14:textId="77777777" w:rsidR="006C03A0" w:rsidRPr="0038583D" w:rsidRDefault="006C03A0" w:rsidP="006C03A0">
      <w:pPr>
        <w:ind w:left="-546"/>
        <w:rPr>
          <w:rFonts w:ascii="Calibri" w:eastAsia="Calibri" w:hAnsi="Calibri" w:cs="Calibri"/>
          <w:b/>
          <w:bCs/>
          <w:iCs/>
          <w:szCs w:val="22"/>
        </w:rPr>
      </w:pPr>
    </w:p>
    <w:p w14:paraId="57ACE5D5" w14:textId="77777777" w:rsidR="006C03A0" w:rsidRDefault="006C03A0" w:rsidP="006C03A0">
      <w:pPr>
        <w:ind w:left="-546"/>
        <w:rPr>
          <w:rFonts w:ascii="Calibri" w:eastAsia="Calibri" w:hAnsi="Calibri" w:cs="Calibri"/>
          <w:b/>
          <w:bCs/>
          <w:iCs/>
          <w:szCs w:val="22"/>
        </w:rPr>
      </w:pPr>
    </w:p>
    <w:p w14:paraId="1EFA061B" w14:textId="77777777" w:rsidR="006C03A0" w:rsidRDefault="006C03A0" w:rsidP="006C03A0">
      <w:pPr>
        <w:ind w:left="-546"/>
        <w:rPr>
          <w:rFonts w:ascii="Calibri" w:eastAsia="Calibri" w:hAnsi="Calibri" w:cs="Calibri"/>
          <w:b/>
          <w:bCs/>
          <w:iCs/>
          <w:szCs w:val="22"/>
        </w:rPr>
      </w:pPr>
    </w:p>
    <w:p w14:paraId="78C8F898" w14:textId="77777777" w:rsidR="006C03A0" w:rsidRPr="0038583D" w:rsidRDefault="006C03A0" w:rsidP="006C03A0">
      <w:pPr>
        <w:ind w:left="-546"/>
        <w:rPr>
          <w:rFonts w:ascii="Calibri" w:eastAsia="Calibri" w:hAnsi="Calibri" w:cs="Calibri"/>
          <w:b/>
          <w:bCs/>
          <w:iCs/>
          <w:szCs w:val="22"/>
        </w:rPr>
      </w:pPr>
    </w:p>
    <w:p w14:paraId="50F5E7AA" w14:textId="215A686F" w:rsidR="006C03A0" w:rsidRDefault="006C03A0" w:rsidP="006C03A0">
      <w:pPr>
        <w:ind w:left="-546"/>
        <w:rPr>
          <w:rFonts w:ascii="Calibri" w:eastAsia="Calibri" w:hAnsi="Calibri" w:cs="Calibri"/>
          <w:b/>
          <w:bCs/>
          <w:iCs/>
          <w:szCs w:val="22"/>
        </w:rPr>
      </w:pPr>
    </w:p>
    <w:p w14:paraId="24653E3F" w14:textId="5B11BB25" w:rsidR="00C036D4" w:rsidRDefault="00C036D4" w:rsidP="006C03A0">
      <w:pPr>
        <w:ind w:left="-546"/>
        <w:rPr>
          <w:rFonts w:ascii="Calibri" w:eastAsia="Calibri" w:hAnsi="Calibri" w:cs="Calibri"/>
          <w:b/>
          <w:bCs/>
          <w:iCs/>
          <w:szCs w:val="22"/>
        </w:rPr>
      </w:pPr>
    </w:p>
    <w:p w14:paraId="5245667D" w14:textId="4B79A067" w:rsidR="00C036D4" w:rsidRDefault="00C036D4" w:rsidP="006C03A0">
      <w:pPr>
        <w:ind w:left="-546"/>
        <w:rPr>
          <w:rFonts w:ascii="Calibri" w:eastAsia="Calibri" w:hAnsi="Calibri" w:cs="Calibri"/>
          <w:b/>
          <w:bCs/>
          <w:iCs/>
          <w:szCs w:val="22"/>
        </w:rPr>
      </w:pPr>
    </w:p>
    <w:p w14:paraId="140B64D7" w14:textId="14284248" w:rsidR="00C036D4" w:rsidRDefault="00C036D4" w:rsidP="006C03A0">
      <w:pPr>
        <w:ind w:left="-546"/>
        <w:rPr>
          <w:rFonts w:ascii="Calibri" w:eastAsia="Calibri" w:hAnsi="Calibri" w:cs="Calibri"/>
          <w:b/>
          <w:bCs/>
          <w:iCs/>
          <w:szCs w:val="22"/>
        </w:rPr>
      </w:pPr>
    </w:p>
    <w:p w14:paraId="67838425" w14:textId="3B715DED" w:rsidR="00C036D4" w:rsidRDefault="00C036D4" w:rsidP="006C03A0">
      <w:pPr>
        <w:ind w:left="-546"/>
        <w:rPr>
          <w:rFonts w:ascii="Calibri" w:eastAsia="Calibri" w:hAnsi="Calibri" w:cs="Calibri"/>
          <w:b/>
          <w:bCs/>
          <w:iCs/>
          <w:szCs w:val="22"/>
        </w:rPr>
      </w:pPr>
    </w:p>
    <w:p w14:paraId="072D28D0" w14:textId="6A8373A0" w:rsidR="00C036D4" w:rsidRDefault="00C036D4" w:rsidP="006C03A0">
      <w:pPr>
        <w:ind w:left="-546"/>
        <w:rPr>
          <w:rFonts w:ascii="Calibri" w:eastAsia="Calibri" w:hAnsi="Calibri" w:cs="Calibri"/>
          <w:b/>
          <w:bCs/>
          <w:iCs/>
          <w:szCs w:val="22"/>
        </w:rPr>
      </w:pPr>
    </w:p>
    <w:p w14:paraId="4FF7A694" w14:textId="6ABE535B" w:rsidR="00C036D4" w:rsidRDefault="00C036D4" w:rsidP="006C03A0">
      <w:pPr>
        <w:ind w:left="-546"/>
        <w:rPr>
          <w:rFonts w:ascii="Calibri" w:eastAsia="Calibri" w:hAnsi="Calibri" w:cs="Calibri"/>
          <w:b/>
          <w:bCs/>
          <w:iCs/>
          <w:szCs w:val="22"/>
        </w:rPr>
      </w:pPr>
    </w:p>
    <w:p w14:paraId="2290B0DD" w14:textId="23DDC9DB" w:rsidR="00C036D4" w:rsidRDefault="00C036D4" w:rsidP="006C03A0">
      <w:pPr>
        <w:ind w:left="-546"/>
        <w:rPr>
          <w:rFonts w:ascii="Calibri" w:eastAsia="Calibri" w:hAnsi="Calibri" w:cs="Calibri"/>
          <w:b/>
          <w:bCs/>
          <w:iCs/>
          <w:szCs w:val="22"/>
        </w:rPr>
      </w:pPr>
    </w:p>
    <w:p w14:paraId="0E95998C" w14:textId="1C30522C" w:rsidR="00C036D4" w:rsidRDefault="00C036D4" w:rsidP="006C03A0">
      <w:pPr>
        <w:ind w:left="-546"/>
        <w:rPr>
          <w:rFonts w:ascii="Calibri" w:eastAsia="Calibri" w:hAnsi="Calibri" w:cs="Calibri"/>
          <w:b/>
          <w:bCs/>
          <w:iCs/>
          <w:szCs w:val="22"/>
        </w:rPr>
      </w:pPr>
    </w:p>
    <w:p w14:paraId="04CD3250" w14:textId="4F0FCFBF" w:rsidR="00C036D4" w:rsidRDefault="00C036D4" w:rsidP="006C03A0">
      <w:pPr>
        <w:ind w:left="-546"/>
        <w:rPr>
          <w:rFonts w:ascii="Calibri" w:eastAsia="Calibri" w:hAnsi="Calibri" w:cs="Calibri"/>
          <w:b/>
          <w:bCs/>
          <w:iCs/>
          <w:szCs w:val="22"/>
        </w:rPr>
      </w:pPr>
    </w:p>
    <w:p w14:paraId="2CA1C46E" w14:textId="54F974F8" w:rsidR="00C036D4" w:rsidRDefault="00C036D4" w:rsidP="006C03A0">
      <w:pPr>
        <w:ind w:left="-546"/>
        <w:rPr>
          <w:rFonts w:ascii="Calibri" w:eastAsia="Calibri" w:hAnsi="Calibri" w:cs="Calibri"/>
          <w:b/>
          <w:bCs/>
          <w:iCs/>
          <w:szCs w:val="22"/>
        </w:rPr>
      </w:pPr>
    </w:p>
    <w:p w14:paraId="0109331A" w14:textId="58FA1A3A" w:rsidR="00C036D4" w:rsidRDefault="00C036D4" w:rsidP="006C03A0">
      <w:pPr>
        <w:ind w:left="-546"/>
        <w:rPr>
          <w:rFonts w:ascii="Calibri" w:eastAsia="Calibri" w:hAnsi="Calibri" w:cs="Calibri"/>
          <w:b/>
          <w:bCs/>
          <w:iCs/>
          <w:szCs w:val="22"/>
        </w:rPr>
      </w:pPr>
    </w:p>
    <w:p w14:paraId="0DCCFC3D" w14:textId="0BF574F3" w:rsidR="00C036D4" w:rsidRDefault="00C036D4" w:rsidP="006C03A0">
      <w:pPr>
        <w:ind w:left="-546"/>
        <w:rPr>
          <w:rFonts w:ascii="Calibri" w:eastAsia="Calibri" w:hAnsi="Calibri" w:cs="Calibri"/>
          <w:b/>
          <w:bCs/>
          <w:iCs/>
          <w:szCs w:val="22"/>
        </w:rPr>
      </w:pPr>
    </w:p>
    <w:p w14:paraId="62943803" w14:textId="6B35AB98" w:rsidR="00C036D4" w:rsidRDefault="00C036D4" w:rsidP="006C03A0">
      <w:pPr>
        <w:ind w:left="-546"/>
        <w:rPr>
          <w:rFonts w:ascii="Calibri" w:eastAsia="Calibri" w:hAnsi="Calibri" w:cs="Calibri"/>
          <w:b/>
          <w:bCs/>
          <w:iCs/>
          <w:szCs w:val="22"/>
        </w:rPr>
      </w:pPr>
    </w:p>
    <w:p w14:paraId="0504E4A0" w14:textId="27C39216" w:rsidR="00C036D4" w:rsidRDefault="00C036D4" w:rsidP="006C03A0">
      <w:pPr>
        <w:ind w:left="-546"/>
        <w:rPr>
          <w:rFonts w:ascii="Calibri" w:eastAsia="Calibri" w:hAnsi="Calibri" w:cs="Calibri"/>
          <w:b/>
          <w:bCs/>
          <w:iCs/>
          <w:szCs w:val="22"/>
        </w:rPr>
      </w:pPr>
    </w:p>
    <w:p w14:paraId="14C8262B" w14:textId="5D6D00BB" w:rsidR="00C036D4" w:rsidRDefault="00C036D4" w:rsidP="006C03A0">
      <w:pPr>
        <w:ind w:left="-546"/>
        <w:rPr>
          <w:rFonts w:ascii="Calibri" w:eastAsia="Calibri" w:hAnsi="Calibri" w:cs="Calibri"/>
          <w:b/>
          <w:bCs/>
          <w:iCs/>
          <w:szCs w:val="22"/>
        </w:rPr>
      </w:pPr>
    </w:p>
    <w:p w14:paraId="39C20038" w14:textId="628F289A" w:rsidR="00C036D4" w:rsidRDefault="00C036D4" w:rsidP="006C03A0">
      <w:pPr>
        <w:ind w:left="-546"/>
        <w:rPr>
          <w:rFonts w:ascii="Calibri" w:eastAsia="Calibri" w:hAnsi="Calibri" w:cs="Calibri"/>
          <w:b/>
          <w:bCs/>
          <w:iCs/>
          <w:szCs w:val="22"/>
        </w:rPr>
      </w:pPr>
    </w:p>
    <w:p w14:paraId="291587FE" w14:textId="3A0EF244" w:rsidR="00C036D4" w:rsidRDefault="00C036D4" w:rsidP="006C03A0">
      <w:pPr>
        <w:ind w:left="-546"/>
        <w:rPr>
          <w:rFonts w:ascii="Calibri" w:eastAsia="Calibri" w:hAnsi="Calibri" w:cs="Calibri"/>
          <w:b/>
          <w:bCs/>
          <w:iCs/>
          <w:szCs w:val="22"/>
        </w:rPr>
      </w:pPr>
    </w:p>
    <w:p w14:paraId="6A70F01E" w14:textId="09B8B1CD" w:rsidR="00C036D4" w:rsidRDefault="00C036D4" w:rsidP="006C03A0">
      <w:pPr>
        <w:ind w:left="-546"/>
        <w:rPr>
          <w:rFonts w:ascii="Calibri" w:eastAsia="Calibri" w:hAnsi="Calibri" w:cs="Calibri"/>
          <w:b/>
          <w:bCs/>
          <w:iCs/>
          <w:szCs w:val="22"/>
        </w:rPr>
      </w:pPr>
    </w:p>
    <w:p w14:paraId="0D89C577" w14:textId="79691E59" w:rsidR="00C036D4" w:rsidRDefault="00C036D4" w:rsidP="006C03A0">
      <w:pPr>
        <w:ind w:left="-546"/>
        <w:rPr>
          <w:rFonts w:ascii="Calibri" w:eastAsia="Calibri" w:hAnsi="Calibri" w:cs="Calibri"/>
          <w:b/>
          <w:bCs/>
          <w:iCs/>
          <w:szCs w:val="22"/>
        </w:rPr>
      </w:pPr>
    </w:p>
    <w:p w14:paraId="50BE3E68" w14:textId="2D6D0236" w:rsidR="00C036D4" w:rsidRDefault="00C036D4" w:rsidP="006C03A0">
      <w:pPr>
        <w:ind w:left="-546"/>
        <w:rPr>
          <w:rFonts w:ascii="Calibri" w:eastAsia="Calibri" w:hAnsi="Calibri" w:cs="Calibri"/>
          <w:b/>
          <w:bCs/>
          <w:iCs/>
          <w:szCs w:val="22"/>
        </w:rPr>
      </w:pPr>
    </w:p>
    <w:p w14:paraId="49FA90B5" w14:textId="2C8E4759" w:rsidR="00C036D4" w:rsidRDefault="00C036D4" w:rsidP="006C03A0">
      <w:pPr>
        <w:ind w:left="-546"/>
        <w:rPr>
          <w:rFonts w:ascii="Calibri" w:eastAsia="Calibri" w:hAnsi="Calibri" w:cs="Calibri"/>
          <w:b/>
          <w:bCs/>
          <w:iCs/>
          <w:szCs w:val="22"/>
        </w:rPr>
      </w:pPr>
    </w:p>
    <w:p w14:paraId="6953E1C5" w14:textId="5209247F" w:rsidR="00C036D4" w:rsidRDefault="00C036D4" w:rsidP="006C03A0">
      <w:pPr>
        <w:ind w:left="-546"/>
        <w:rPr>
          <w:rFonts w:ascii="Calibri" w:eastAsia="Calibri" w:hAnsi="Calibri" w:cs="Calibri"/>
          <w:b/>
          <w:bCs/>
          <w:iCs/>
          <w:szCs w:val="22"/>
        </w:rPr>
      </w:pPr>
    </w:p>
    <w:p w14:paraId="43CA057C" w14:textId="77777777" w:rsidR="00C036D4" w:rsidRPr="0038583D" w:rsidRDefault="00C036D4" w:rsidP="006C03A0">
      <w:pPr>
        <w:ind w:left="-546"/>
        <w:rPr>
          <w:rFonts w:ascii="Calibri" w:eastAsia="Calibri" w:hAnsi="Calibri" w:cs="Calibri"/>
          <w:b/>
          <w:bCs/>
          <w:iCs/>
          <w:szCs w:val="22"/>
        </w:rPr>
      </w:pPr>
    </w:p>
    <w:p w14:paraId="04C535C2" w14:textId="77777777" w:rsidR="006C03A0" w:rsidRPr="0038583D" w:rsidRDefault="006C03A0" w:rsidP="006C03A0">
      <w:pPr>
        <w:ind w:left="-546"/>
        <w:rPr>
          <w:rFonts w:ascii="Calibri" w:eastAsia="Calibri" w:hAnsi="Calibri" w:cs="Calibri"/>
          <w:b/>
          <w:bCs/>
          <w:iCs/>
          <w:szCs w:val="22"/>
        </w:rPr>
      </w:pPr>
    </w:p>
    <w:p w14:paraId="1CAC1484" w14:textId="77777777" w:rsidR="006C03A0" w:rsidRPr="0038583D" w:rsidRDefault="006C03A0" w:rsidP="006C03A0">
      <w:pPr>
        <w:ind w:left="-546"/>
        <w:rPr>
          <w:rFonts w:ascii="Calibri" w:eastAsia="Calibri" w:hAnsi="Calibri" w:cs="Calibri"/>
          <w:b/>
          <w:bCs/>
          <w:iCs/>
          <w:szCs w:val="22"/>
        </w:rPr>
      </w:pPr>
    </w:p>
    <w:p w14:paraId="109BD8E8" w14:textId="77777777" w:rsidR="006C03A0" w:rsidRPr="0038583D" w:rsidRDefault="006C03A0" w:rsidP="006C03A0">
      <w:pPr>
        <w:ind w:left="-546"/>
        <w:rPr>
          <w:rFonts w:ascii="Calibri" w:eastAsia="Calibri" w:hAnsi="Calibri" w:cs="Calibri"/>
          <w:b/>
          <w:bCs/>
          <w:iCs/>
          <w:szCs w:val="22"/>
        </w:rPr>
      </w:pPr>
    </w:p>
    <w:p w14:paraId="45DD04A9" w14:textId="77777777" w:rsidR="006C03A0" w:rsidRPr="0038583D" w:rsidRDefault="006C03A0" w:rsidP="006C03A0">
      <w:pPr>
        <w:ind w:left="-546"/>
        <w:rPr>
          <w:rFonts w:ascii="Calibri" w:eastAsia="Calibri" w:hAnsi="Calibri" w:cs="Calibri"/>
          <w:b/>
          <w:bCs/>
          <w:iCs/>
          <w:szCs w:val="22"/>
        </w:rPr>
      </w:pPr>
    </w:p>
    <w:p w14:paraId="4B08B311" w14:textId="77777777" w:rsidR="006C03A0" w:rsidRPr="0038583D" w:rsidRDefault="006C03A0" w:rsidP="006C03A0">
      <w:pPr>
        <w:ind w:left="-546"/>
        <w:rPr>
          <w:rFonts w:ascii="Calibri" w:eastAsia="Calibri" w:hAnsi="Calibri" w:cs="Calibri"/>
          <w:b/>
          <w:bCs/>
          <w:iCs/>
          <w:szCs w:val="22"/>
        </w:rPr>
      </w:pPr>
    </w:p>
    <w:p w14:paraId="27CA6DB1" w14:textId="77777777" w:rsidR="006C03A0" w:rsidRPr="0038583D" w:rsidRDefault="006C03A0" w:rsidP="006C03A0">
      <w:pPr>
        <w:ind w:left="-546"/>
        <w:rPr>
          <w:rFonts w:ascii="Calibri" w:eastAsia="Calibri" w:hAnsi="Calibri" w:cs="Calibri"/>
          <w:b/>
          <w:bCs/>
          <w:iCs/>
          <w:szCs w:val="22"/>
        </w:rPr>
      </w:pPr>
    </w:p>
    <w:p w14:paraId="1BDEE2F7" w14:textId="77777777" w:rsidR="006C03A0" w:rsidRPr="0038583D" w:rsidRDefault="006C03A0" w:rsidP="006C03A0">
      <w:pPr>
        <w:ind w:left="-546"/>
        <w:rPr>
          <w:rFonts w:ascii="Calibri" w:eastAsia="Calibri" w:hAnsi="Calibri" w:cs="Calibri"/>
          <w:b/>
          <w:bCs/>
          <w:iCs/>
          <w:szCs w:val="22"/>
        </w:rPr>
      </w:pPr>
    </w:p>
    <w:p w14:paraId="50B5D208" w14:textId="77777777" w:rsidR="006C03A0" w:rsidRPr="0038583D" w:rsidRDefault="006C03A0" w:rsidP="006C03A0">
      <w:pPr>
        <w:ind w:left="-546"/>
        <w:rPr>
          <w:rFonts w:ascii="Calibri" w:eastAsia="Calibri" w:hAnsi="Calibri" w:cs="Calibri"/>
          <w:b/>
          <w:bCs/>
          <w:iCs/>
          <w:szCs w:val="22"/>
        </w:rPr>
      </w:pPr>
    </w:p>
    <w:p w14:paraId="6A474E80" w14:textId="77777777" w:rsidR="006C03A0" w:rsidRPr="0038583D" w:rsidRDefault="006C03A0" w:rsidP="006C03A0">
      <w:pPr>
        <w:ind w:left="-546"/>
        <w:rPr>
          <w:rFonts w:ascii="Calibri" w:eastAsia="Calibri" w:hAnsi="Calibri" w:cs="Calibri"/>
          <w:b/>
          <w:bCs/>
          <w:iCs/>
          <w:szCs w:val="22"/>
        </w:rPr>
      </w:pPr>
    </w:p>
    <w:p w14:paraId="4C9B7D49" w14:textId="77777777" w:rsidR="006C03A0" w:rsidRPr="0038583D" w:rsidRDefault="006C03A0" w:rsidP="006C03A0">
      <w:pPr>
        <w:ind w:left="-546"/>
        <w:rPr>
          <w:rFonts w:ascii="Calibri" w:eastAsia="Calibri" w:hAnsi="Calibri" w:cs="Calibri"/>
          <w:b/>
          <w:bCs/>
          <w:iCs/>
          <w:szCs w:val="22"/>
        </w:rPr>
      </w:pPr>
    </w:p>
    <w:p w14:paraId="2DF9AF07" w14:textId="32EB20F3" w:rsidR="006C03A0" w:rsidRPr="0038583D" w:rsidRDefault="006C03A0" w:rsidP="006C03A0">
      <w:pPr>
        <w:ind w:left="-546"/>
        <w:rPr>
          <w:rFonts w:ascii="Calibri" w:eastAsia="Calibri" w:hAnsi="Calibri" w:cs="Calibri"/>
          <w:bCs/>
          <w:iCs/>
          <w:color w:val="FF0000"/>
          <w:szCs w:val="22"/>
        </w:rPr>
      </w:pPr>
      <w:r w:rsidRPr="0038583D">
        <w:rPr>
          <w:rFonts w:ascii="Calibri" w:eastAsia="Calibri" w:hAnsi="Calibri" w:cs="Calibri"/>
          <w:b/>
          <w:bCs/>
          <w:iCs/>
          <w:szCs w:val="22"/>
        </w:rPr>
        <w:t>Prevent Risk Assessment and Action Plan</w:t>
      </w:r>
    </w:p>
    <w:tbl>
      <w:tblPr>
        <w:tblStyle w:val="TableGrid1"/>
        <w:tblW w:w="22539" w:type="dxa"/>
        <w:tblInd w:w="-57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537"/>
        <w:gridCol w:w="3117"/>
        <w:gridCol w:w="3595"/>
        <w:gridCol w:w="1075"/>
        <w:gridCol w:w="1075"/>
        <w:gridCol w:w="748"/>
        <w:gridCol w:w="5924"/>
        <w:gridCol w:w="1269"/>
        <w:gridCol w:w="2210"/>
        <w:gridCol w:w="815"/>
        <w:gridCol w:w="1079"/>
        <w:gridCol w:w="1095"/>
      </w:tblGrid>
      <w:tr w:rsidR="006C03A0" w:rsidRPr="0038583D" w14:paraId="7DFCC81E" w14:textId="77777777" w:rsidTr="00143761">
        <w:tc>
          <w:tcPr>
            <w:tcW w:w="22539" w:type="dxa"/>
            <w:gridSpan w:val="12"/>
            <w:shd w:val="clear" w:color="auto" w:fill="1F497D"/>
          </w:tcPr>
          <w:p w14:paraId="5EBC6F0A" w14:textId="77777777" w:rsidR="006C03A0" w:rsidRPr="0038583D" w:rsidRDefault="006C03A0" w:rsidP="00213B4C">
            <w:pPr>
              <w:spacing w:after="200" w:line="276" w:lineRule="auto"/>
              <w:rPr>
                <w:rFonts w:ascii="Calibri" w:hAnsi="Calibri"/>
                <w:b/>
                <w:iCs/>
                <w:szCs w:val="20"/>
              </w:rPr>
            </w:pPr>
            <w:r w:rsidRPr="0038583D">
              <w:rPr>
                <w:rFonts w:ascii="Calibri" w:hAnsi="Calibri"/>
                <w:iCs/>
                <w:color w:val="FF0000"/>
                <w:szCs w:val="20"/>
              </w:rPr>
              <w:br w:type="page"/>
            </w:r>
            <w:r w:rsidRPr="0038583D">
              <w:rPr>
                <w:rFonts w:ascii="Calibri" w:hAnsi="Calibri"/>
                <w:b/>
                <w:noProof/>
                <w:color w:val="FFFFFF"/>
                <w:szCs w:val="20"/>
              </w:rPr>
              <w:t>National Prevent Objective 1: Respond to the ideological challenge of terrorism and the threat we face from those who promote it</w:t>
            </w:r>
          </w:p>
        </w:tc>
      </w:tr>
      <w:tr w:rsidR="006C03A0" w:rsidRPr="0038583D" w14:paraId="4B52EE9B" w14:textId="77777777" w:rsidTr="00143761">
        <w:tc>
          <w:tcPr>
            <w:tcW w:w="22539" w:type="dxa"/>
            <w:gridSpan w:val="12"/>
            <w:shd w:val="clear" w:color="auto" w:fill="4F81BD"/>
          </w:tcPr>
          <w:p w14:paraId="65961FE8" w14:textId="77777777" w:rsidR="006C03A0" w:rsidRPr="0038583D" w:rsidRDefault="006C03A0" w:rsidP="00213B4C">
            <w:pPr>
              <w:spacing w:after="200" w:line="276" w:lineRule="auto"/>
              <w:rPr>
                <w:rFonts w:ascii="Calibri" w:hAnsi="Calibri"/>
                <w:b/>
                <w:iCs/>
                <w:color w:val="FFFFFF"/>
                <w:szCs w:val="20"/>
              </w:rPr>
            </w:pPr>
            <w:r w:rsidRPr="0038583D">
              <w:rPr>
                <w:rFonts w:ascii="Calibri" w:hAnsi="Calibri"/>
                <w:b/>
                <w:color w:val="FFFFFF"/>
                <w:szCs w:val="20"/>
              </w:rPr>
              <w:t xml:space="preserve">University of Sussex Outcome: </w:t>
            </w:r>
            <w:r w:rsidRPr="0038583D">
              <w:rPr>
                <w:rFonts w:ascii="Calibri" w:hAnsi="Calibri"/>
                <w:color w:val="FFFFFF"/>
                <w:szCs w:val="20"/>
              </w:rPr>
              <w:t>Terrorism and extremism are better understood and responsible officers, frontline staff, and the University community are better equipped to recognise indicators and safeguard students and staff.</w:t>
            </w:r>
          </w:p>
        </w:tc>
      </w:tr>
      <w:tr w:rsidR="00264642" w:rsidRPr="0038583D" w14:paraId="4C616E63" w14:textId="77777777" w:rsidTr="00143761">
        <w:tc>
          <w:tcPr>
            <w:tcW w:w="538" w:type="dxa"/>
            <w:shd w:val="clear" w:color="auto" w:fill="95B3D7"/>
          </w:tcPr>
          <w:p w14:paraId="47989CA8"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No.</w:t>
            </w:r>
          </w:p>
        </w:tc>
        <w:tc>
          <w:tcPr>
            <w:tcW w:w="3231" w:type="dxa"/>
            <w:shd w:val="clear" w:color="auto" w:fill="95B3D7"/>
          </w:tcPr>
          <w:p w14:paraId="44BEA588"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Risk</w:t>
            </w:r>
          </w:p>
        </w:tc>
        <w:tc>
          <w:tcPr>
            <w:tcW w:w="3744" w:type="dxa"/>
            <w:shd w:val="clear" w:color="auto" w:fill="95B3D7"/>
          </w:tcPr>
          <w:p w14:paraId="60E13DB4"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Current Controls</w:t>
            </w:r>
          </w:p>
        </w:tc>
        <w:tc>
          <w:tcPr>
            <w:tcW w:w="2109" w:type="dxa"/>
            <w:gridSpan w:val="3"/>
            <w:shd w:val="clear" w:color="auto" w:fill="95B3D7"/>
          </w:tcPr>
          <w:p w14:paraId="3C09006D"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Current Rating</w:t>
            </w:r>
          </w:p>
        </w:tc>
        <w:tc>
          <w:tcPr>
            <w:tcW w:w="6254" w:type="dxa"/>
            <w:shd w:val="clear" w:color="auto" w:fill="95B3D7"/>
          </w:tcPr>
          <w:p w14:paraId="40622DDD"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Planned Mitigating Actions</w:t>
            </w:r>
          </w:p>
        </w:tc>
        <w:tc>
          <w:tcPr>
            <w:tcW w:w="1276" w:type="dxa"/>
            <w:shd w:val="clear" w:color="auto" w:fill="95B3D7"/>
          </w:tcPr>
          <w:p w14:paraId="11865014"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Timing</w:t>
            </w:r>
          </w:p>
        </w:tc>
        <w:tc>
          <w:tcPr>
            <w:tcW w:w="2268" w:type="dxa"/>
            <w:shd w:val="clear" w:color="auto" w:fill="95B3D7"/>
          </w:tcPr>
          <w:p w14:paraId="68BACC1B"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Owner</w:t>
            </w:r>
          </w:p>
        </w:tc>
        <w:tc>
          <w:tcPr>
            <w:tcW w:w="3119" w:type="dxa"/>
            <w:gridSpan w:val="3"/>
            <w:shd w:val="clear" w:color="auto" w:fill="95B3D7"/>
          </w:tcPr>
          <w:p w14:paraId="61351487"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Residual Risk Rating</w:t>
            </w:r>
          </w:p>
        </w:tc>
      </w:tr>
      <w:tr w:rsidR="00222876" w:rsidRPr="0038583D" w14:paraId="1AB6F9C9" w14:textId="77777777" w:rsidTr="00143761">
        <w:trPr>
          <w:trHeight w:val="641"/>
        </w:trPr>
        <w:tc>
          <w:tcPr>
            <w:tcW w:w="538" w:type="dxa"/>
            <w:shd w:val="clear" w:color="auto" w:fill="95B3D7"/>
          </w:tcPr>
          <w:p w14:paraId="50D4A2A8" w14:textId="77777777" w:rsidR="006C03A0" w:rsidRPr="0038583D" w:rsidRDefault="006C03A0" w:rsidP="00213B4C">
            <w:pPr>
              <w:spacing w:after="120" w:line="276" w:lineRule="auto"/>
              <w:rPr>
                <w:rFonts w:ascii="Calibri" w:hAnsi="Calibri"/>
                <w:b/>
                <w:iCs/>
                <w:color w:val="FFFFFF"/>
                <w:szCs w:val="20"/>
              </w:rPr>
            </w:pPr>
          </w:p>
        </w:tc>
        <w:tc>
          <w:tcPr>
            <w:tcW w:w="3231" w:type="dxa"/>
            <w:shd w:val="clear" w:color="auto" w:fill="95B3D7"/>
          </w:tcPr>
          <w:p w14:paraId="0870E6F1" w14:textId="77777777" w:rsidR="006C03A0" w:rsidRPr="0038583D" w:rsidRDefault="006C03A0" w:rsidP="00213B4C">
            <w:pPr>
              <w:spacing w:after="120" w:line="276" w:lineRule="auto"/>
              <w:rPr>
                <w:rFonts w:ascii="Calibri" w:hAnsi="Calibri"/>
                <w:b/>
                <w:iCs/>
                <w:color w:val="FFFFFF"/>
                <w:szCs w:val="20"/>
              </w:rPr>
            </w:pPr>
          </w:p>
        </w:tc>
        <w:tc>
          <w:tcPr>
            <w:tcW w:w="3744" w:type="dxa"/>
            <w:shd w:val="clear" w:color="auto" w:fill="95B3D7"/>
          </w:tcPr>
          <w:p w14:paraId="6E587235" w14:textId="77777777" w:rsidR="006C03A0" w:rsidRPr="0038583D" w:rsidRDefault="006C03A0" w:rsidP="00213B4C">
            <w:pPr>
              <w:spacing w:after="120" w:line="276" w:lineRule="auto"/>
              <w:rPr>
                <w:rFonts w:ascii="Calibri" w:hAnsi="Calibri"/>
                <w:b/>
                <w:iCs/>
                <w:color w:val="FFFFFF"/>
                <w:szCs w:val="20"/>
              </w:rPr>
            </w:pPr>
          </w:p>
        </w:tc>
        <w:tc>
          <w:tcPr>
            <w:tcW w:w="286" w:type="dxa"/>
            <w:shd w:val="clear" w:color="auto" w:fill="95B3D7"/>
          </w:tcPr>
          <w:p w14:paraId="5222401B"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Likelihood</w:t>
            </w:r>
          </w:p>
        </w:tc>
        <w:tc>
          <w:tcPr>
            <w:tcW w:w="1075" w:type="dxa"/>
            <w:shd w:val="clear" w:color="auto" w:fill="95B3D7"/>
          </w:tcPr>
          <w:p w14:paraId="07023889"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Impact</w:t>
            </w:r>
          </w:p>
        </w:tc>
        <w:tc>
          <w:tcPr>
            <w:tcW w:w="748" w:type="dxa"/>
            <w:shd w:val="clear" w:color="auto" w:fill="95B3D7"/>
          </w:tcPr>
          <w:p w14:paraId="7B3F8262"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Risk Rating</w:t>
            </w:r>
          </w:p>
        </w:tc>
        <w:tc>
          <w:tcPr>
            <w:tcW w:w="6254" w:type="dxa"/>
            <w:shd w:val="clear" w:color="auto" w:fill="95B3D7"/>
          </w:tcPr>
          <w:p w14:paraId="4E79E6A8" w14:textId="77777777" w:rsidR="006C03A0" w:rsidRPr="0038583D" w:rsidRDefault="006C03A0" w:rsidP="00213B4C">
            <w:pPr>
              <w:spacing w:after="120" w:line="276" w:lineRule="auto"/>
              <w:rPr>
                <w:rFonts w:ascii="Calibri" w:hAnsi="Calibri"/>
                <w:b/>
                <w:iCs/>
                <w:color w:val="FFFFFF"/>
                <w:szCs w:val="20"/>
              </w:rPr>
            </w:pPr>
          </w:p>
        </w:tc>
        <w:tc>
          <w:tcPr>
            <w:tcW w:w="1276" w:type="dxa"/>
            <w:shd w:val="clear" w:color="auto" w:fill="95B3D7"/>
          </w:tcPr>
          <w:p w14:paraId="35929B04" w14:textId="77777777" w:rsidR="006C03A0" w:rsidRPr="0038583D" w:rsidRDefault="006C03A0" w:rsidP="00213B4C">
            <w:pPr>
              <w:spacing w:after="120" w:line="276" w:lineRule="auto"/>
              <w:rPr>
                <w:rFonts w:ascii="Calibri" w:hAnsi="Calibri"/>
                <w:b/>
                <w:iCs/>
                <w:color w:val="FFFFFF"/>
                <w:szCs w:val="20"/>
              </w:rPr>
            </w:pPr>
          </w:p>
        </w:tc>
        <w:tc>
          <w:tcPr>
            <w:tcW w:w="2268" w:type="dxa"/>
            <w:shd w:val="clear" w:color="auto" w:fill="95B3D7"/>
          </w:tcPr>
          <w:p w14:paraId="5451B614" w14:textId="77777777" w:rsidR="006C03A0" w:rsidRPr="0038583D" w:rsidRDefault="006C03A0" w:rsidP="00213B4C">
            <w:pPr>
              <w:spacing w:after="120" w:line="276" w:lineRule="auto"/>
              <w:rPr>
                <w:rFonts w:ascii="Calibri" w:hAnsi="Calibri"/>
                <w:b/>
                <w:iCs/>
                <w:color w:val="FFFFFF"/>
                <w:szCs w:val="20"/>
              </w:rPr>
            </w:pPr>
          </w:p>
        </w:tc>
        <w:tc>
          <w:tcPr>
            <w:tcW w:w="851" w:type="dxa"/>
            <w:shd w:val="clear" w:color="auto" w:fill="95B3D7"/>
          </w:tcPr>
          <w:p w14:paraId="5DC2FDFF"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L</w:t>
            </w:r>
          </w:p>
        </w:tc>
        <w:tc>
          <w:tcPr>
            <w:tcW w:w="1134" w:type="dxa"/>
            <w:shd w:val="clear" w:color="auto" w:fill="95B3D7"/>
          </w:tcPr>
          <w:p w14:paraId="1C970C96"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I</w:t>
            </w:r>
          </w:p>
        </w:tc>
        <w:tc>
          <w:tcPr>
            <w:tcW w:w="1134" w:type="dxa"/>
            <w:shd w:val="clear" w:color="auto" w:fill="95B3D7"/>
          </w:tcPr>
          <w:p w14:paraId="69CA8E03" w14:textId="77777777" w:rsidR="006C03A0" w:rsidRPr="0038583D" w:rsidRDefault="006C03A0" w:rsidP="00213B4C">
            <w:pPr>
              <w:spacing w:after="120" w:line="276" w:lineRule="auto"/>
              <w:rPr>
                <w:rFonts w:ascii="Calibri" w:hAnsi="Calibri"/>
                <w:b/>
                <w:iCs/>
                <w:color w:val="FFFFFF"/>
                <w:szCs w:val="20"/>
              </w:rPr>
            </w:pPr>
            <w:r w:rsidRPr="0038583D">
              <w:rPr>
                <w:rFonts w:ascii="Calibri" w:hAnsi="Calibri"/>
                <w:b/>
                <w:iCs/>
                <w:color w:val="FFFFFF"/>
                <w:szCs w:val="20"/>
              </w:rPr>
              <w:t>Risk</w:t>
            </w:r>
          </w:p>
        </w:tc>
      </w:tr>
      <w:tr w:rsidR="00222876" w:rsidRPr="0038583D" w14:paraId="5B6382EC" w14:textId="77777777" w:rsidTr="00143761">
        <w:trPr>
          <w:trHeight w:val="3420"/>
        </w:trPr>
        <w:tc>
          <w:tcPr>
            <w:tcW w:w="538" w:type="dxa"/>
            <w:shd w:val="clear" w:color="auto" w:fill="DBE5F1"/>
          </w:tcPr>
          <w:p w14:paraId="78994EA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1.1</w:t>
            </w:r>
          </w:p>
        </w:tc>
        <w:tc>
          <w:tcPr>
            <w:tcW w:w="3231" w:type="dxa"/>
            <w:shd w:val="clear" w:color="auto" w:fill="DBE5F1"/>
          </w:tcPr>
          <w:p w14:paraId="2C6C9865"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Staff</w:t>
            </w:r>
            <w:r w:rsidRPr="0038583D">
              <w:rPr>
                <w:rFonts w:ascii="Calibri" w:hAnsi="Calibri"/>
                <w:szCs w:val="20"/>
                <w:vertAlign w:val="superscript"/>
              </w:rPr>
              <w:footnoteReference w:id="1"/>
            </w:r>
            <w:r w:rsidRPr="0038583D">
              <w:rPr>
                <w:rFonts w:ascii="Calibri" w:hAnsi="Calibri"/>
                <w:szCs w:val="20"/>
              </w:rPr>
              <w:t xml:space="preserve"> are unaware of the Prevent Duty and do not recognise and act to safeguard vulnerable students and colleagues.</w:t>
            </w:r>
          </w:p>
        </w:tc>
        <w:tc>
          <w:tcPr>
            <w:tcW w:w="3744" w:type="dxa"/>
            <w:shd w:val="clear" w:color="auto" w:fill="DBE5F1"/>
          </w:tcPr>
          <w:p w14:paraId="5D1F283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Online Prevent training and seminars provided by the University.  Online training mandatory for identified key staff.</w:t>
            </w:r>
          </w:p>
        </w:tc>
        <w:tc>
          <w:tcPr>
            <w:tcW w:w="286" w:type="dxa"/>
            <w:shd w:val="clear" w:color="auto" w:fill="DBE5F1"/>
          </w:tcPr>
          <w:p w14:paraId="0F57AC4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31795D9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1808210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0AE6F138" w14:textId="5BD0EF9A"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1.1.1 Improved online training</w:t>
            </w:r>
            <w:r w:rsidR="00805B2E">
              <w:rPr>
                <w:rFonts w:ascii="Calibri" w:hAnsi="Calibri"/>
                <w:iCs/>
                <w:szCs w:val="20"/>
              </w:rPr>
              <w:t>, which has been updated with a more relevant case study on Incel culture</w:t>
            </w:r>
            <w:r w:rsidRPr="0038583D">
              <w:rPr>
                <w:rFonts w:ascii="Calibri" w:hAnsi="Calibri"/>
                <w:iCs/>
                <w:szCs w:val="20"/>
              </w:rPr>
              <w:t xml:space="preserve"> </w:t>
            </w:r>
          </w:p>
          <w:p w14:paraId="58C09A4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1.1.2 Better targeted relevant groups to receive training</w:t>
            </w:r>
          </w:p>
          <w:p w14:paraId="6FEA903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1.1.3 Increased profile of Prevent as apart of Safeguarding.</w:t>
            </w:r>
          </w:p>
          <w:p w14:paraId="14AAAD2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1.1.4 Face-to-face training with identified staff facilitated and including local contextual information (e.g. far right symbols awareness)</w:t>
            </w:r>
          </w:p>
          <w:p w14:paraId="72C2571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1.1.5 Ongoing refresher training offered to key staff.</w:t>
            </w:r>
          </w:p>
        </w:tc>
        <w:tc>
          <w:tcPr>
            <w:tcW w:w="1276" w:type="dxa"/>
            <w:shd w:val="clear" w:color="auto" w:fill="DBE5F1"/>
          </w:tcPr>
          <w:p w14:paraId="2494BD1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Ongoing </w:t>
            </w:r>
          </w:p>
          <w:p w14:paraId="7927E9C2"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Ongoing </w:t>
            </w:r>
          </w:p>
          <w:p w14:paraId="0B3FAAB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24851668" w14:textId="77777777" w:rsidR="006C03A0" w:rsidRPr="0038583D" w:rsidRDefault="006C03A0" w:rsidP="00213B4C">
            <w:pPr>
              <w:spacing w:before="100" w:beforeAutospacing="1" w:after="120"/>
              <w:rPr>
                <w:rFonts w:ascii="Calibri" w:hAnsi="Calibri"/>
                <w:iCs/>
                <w:szCs w:val="20"/>
              </w:rPr>
            </w:pPr>
          </w:p>
          <w:p w14:paraId="20B96B2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045062B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1AE75B53" w14:textId="77777777" w:rsidR="006C03A0" w:rsidRPr="0038583D" w:rsidRDefault="006C03A0" w:rsidP="00213B4C">
            <w:pPr>
              <w:spacing w:before="100" w:beforeAutospacing="1" w:after="120"/>
              <w:rPr>
                <w:rFonts w:ascii="Calibri" w:hAnsi="Calibri"/>
                <w:iCs/>
                <w:szCs w:val="20"/>
              </w:rPr>
            </w:pPr>
          </w:p>
        </w:tc>
        <w:tc>
          <w:tcPr>
            <w:tcW w:w="2268" w:type="dxa"/>
            <w:shd w:val="clear" w:color="auto" w:fill="DBE5F1"/>
          </w:tcPr>
          <w:p w14:paraId="38A74104" w14:textId="5380AD0E"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HR (</w:t>
            </w:r>
            <w:r w:rsidR="00EF36DB">
              <w:rPr>
                <w:rFonts w:ascii="Calibri" w:hAnsi="Calibri"/>
                <w:iCs/>
                <w:szCs w:val="20"/>
              </w:rPr>
              <w:t>IP</w:t>
            </w:r>
            <w:r w:rsidRPr="0038583D">
              <w:rPr>
                <w:rFonts w:ascii="Calibri" w:hAnsi="Calibri"/>
                <w:iCs/>
                <w:szCs w:val="20"/>
              </w:rPr>
              <w:t>)</w:t>
            </w:r>
          </w:p>
          <w:p w14:paraId="03760355" w14:textId="0A7BC290"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HR (</w:t>
            </w:r>
            <w:r w:rsidR="00EF36DB">
              <w:rPr>
                <w:rFonts w:ascii="Calibri" w:hAnsi="Calibri"/>
                <w:iCs/>
                <w:szCs w:val="20"/>
              </w:rPr>
              <w:t>IP</w:t>
            </w:r>
            <w:r w:rsidRPr="0038583D">
              <w:rPr>
                <w:rFonts w:ascii="Calibri" w:hAnsi="Calibri"/>
                <w:iCs/>
                <w:szCs w:val="20"/>
              </w:rPr>
              <w:t xml:space="preserve">) </w:t>
            </w:r>
          </w:p>
          <w:p w14:paraId="616A954A" w14:textId="48E3C4EF"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Lead (</w:t>
            </w:r>
            <w:r w:rsidR="00EF36DB">
              <w:rPr>
                <w:rFonts w:ascii="Calibri" w:hAnsi="Calibri"/>
                <w:iCs/>
                <w:szCs w:val="20"/>
              </w:rPr>
              <w:t>N</w:t>
            </w:r>
            <w:r w:rsidRPr="0038583D">
              <w:rPr>
                <w:rFonts w:ascii="Calibri" w:hAnsi="Calibri"/>
                <w:iCs/>
                <w:szCs w:val="20"/>
              </w:rPr>
              <w:t>E)</w:t>
            </w:r>
          </w:p>
          <w:p w14:paraId="50EE27AD" w14:textId="77777777" w:rsidR="006C03A0" w:rsidRPr="0038583D" w:rsidRDefault="006C03A0" w:rsidP="00213B4C">
            <w:pPr>
              <w:spacing w:before="100" w:beforeAutospacing="1" w:after="120"/>
              <w:rPr>
                <w:rFonts w:ascii="Calibri" w:hAnsi="Calibri"/>
                <w:iCs/>
                <w:szCs w:val="20"/>
              </w:rPr>
            </w:pPr>
          </w:p>
          <w:p w14:paraId="5B74F1FC" w14:textId="1BBF2C7B"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HR (</w:t>
            </w:r>
            <w:r w:rsidR="0089551C">
              <w:rPr>
                <w:rFonts w:ascii="Calibri" w:hAnsi="Calibri"/>
                <w:iCs/>
                <w:szCs w:val="20"/>
              </w:rPr>
              <w:t>IP</w:t>
            </w:r>
            <w:r w:rsidRPr="0038583D">
              <w:rPr>
                <w:rFonts w:ascii="Calibri" w:hAnsi="Calibri"/>
                <w:iCs/>
                <w:szCs w:val="20"/>
              </w:rPr>
              <w:t>)</w:t>
            </w:r>
          </w:p>
          <w:p w14:paraId="30743E18" w14:textId="79FBDB4D"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HR (</w:t>
            </w:r>
            <w:r w:rsidR="0089551C">
              <w:rPr>
                <w:rFonts w:ascii="Calibri" w:hAnsi="Calibri"/>
                <w:iCs/>
                <w:szCs w:val="20"/>
              </w:rPr>
              <w:t>IP</w:t>
            </w:r>
            <w:r w:rsidRPr="0038583D">
              <w:rPr>
                <w:rFonts w:ascii="Calibri" w:hAnsi="Calibri"/>
                <w:iCs/>
                <w:szCs w:val="20"/>
              </w:rPr>
              <w:t>)</w:t>
            </w:r>
          </w:p>
          <w:p w14:paraId="767EE79F" w14:textId="77777777" w:rsidR="006C03A0" w:rsidRPr="0038583D" w:rsidRDefault="006C03A0" w:rsidP="00213B4C">
            <w:pPr>
              <w:spacing w:before="100" w:beforeAutospacing="1" w:after="120"/>
              <w:rPr>
                <w:rFonts w:ascii="Calibri" w:hAnsi="Calibri"/>
                <w:iCs/>
                <w:szCs w:val="20"/>
              </w:rPr>
            </w:pPr>
          </w:p>
        </w:tc>
        <w:tc>
          <w:tcPr>
            <w:tcW w:w="851" w:type="dxa"/>
            <w:shd w:val="clear" w:color="auto" w:fill="DBE5F1"/>
          </w:tcPr>
          <w:p w14:paraId="7D88B4D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008ECCD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015600A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222876" w:rsidRPr="0038583D" w14:paraId="286D9D67" w14:textId="77777777" w:rsidTr="00143761">
        <w:trPr>
          <w:trHeight w:val="2666"/>
        </w:trPr>
        <w:tc>
          <w:tcPr>
            <w:tcW w:w="538" w:type="dxa"/>
            <w:shd w:val="clear" w:color="auto" w:fill="DBE5F1"/>
          </w:tcPr>
          <w:p w14:paraId="13A279E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1.2</w:t>
            </w:r>
          </w:p>
        </w:tc>
        <w:tc>
          <w:tcPr>
            <w:tcW w:w="3231" w:type="dxa"/>
            <w:shd w:val="clear" w:color="auto" w:fill="DBE5F1"/>
          </w:tcPr>
          <w:p w14:paraId="5B2C50B0"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Staff are unaware of the University’s Prevent Policy and Guidelines so do not act to safeguard vulnerable students and colleagues.</w:t>
            </w:r>
          </w:p>
        </w:tc>
        <w:tc>
          <w:tcPr>
            <w:tcW w:w="3744" w:type="dxa"/>
            <w:shd w:val="clear" w:color="auto" w:fill="DBE5F1"/>
          </w:tcPr>
          <w:p w14:paraId="4E2056BD"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University’s Policy and Guidelines on Website and Communicated.</w:t>
            </w:r>
          </w:p>
        </w:tc>
        <w:tc>
          <w:tcPr>
            <w:tcW w:w="286" w:type="dxa"/>
            <w:shd w:val="clear" w:color="auto" w:fill="DBE5F1"/>
          </w:tcPr>
          <w:p w14:paraId="49AC729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77B4F43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7409579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25712613" w14:textId="77777777" w:rsidR="006C03A0" w:rsidRPr="0038583D" w:rsidRDefault="006C03A0" w:rsidP="00213B4C">
            <w:pPr>
              <w:spacing w:before="100" w:beforeAutospacing="1"/>
              <w:rPr>
                <w:rFonts w:ascii="Calibri" w:hAnsi="Calibri"/>
                <w:iCs/>
                <w:szCs w:val="20"/>
              </w:rPr>
            </w:pPr>
            <w:r w:rsidRPr="0038583D">
              <w:rPr>
                <w:rFonts w:ascii="Calibri" w:hAnsi="Calibri"/>
                <w:iCs/>
                <w:szCs w:val="20"/>
              </w:rPr>
              <w:t>1.2.1 University Safeguarding Policy written and published on Website.</w:t>
            </w:r>
          </w:p>
          <w:p w14:paraId="00CE7D00" w14:textId="3C2A0CC2" w:rsidR="006C03A0" w:rsidRPr="0038583D" w:rsidRDefault="006C03A0" w:rsidP="004B7D3E">
            <w:pPr>
              <w:spacing w:before="100" w:beforeAutospacing="1"/>
              <w:rPr>
                <w:rFonts w:ascii="Calibri" w:hAnsi="Calibri"/>
                <w:iCs/>
                <w:szCs w:val="20"/>
              </w:rPr>
            </w:pPr>
            <w:r w:rsidRPr="0038583D">
              <w:rPr>
                <w:rFonts w:ascii="Calibri" w:hAnsi="Calibri"/>
                <w:iCs/>
                <w:szCs w:val="20"/>
              </w:rPr>
              <w:t xml:space="preserve">1.2.2 </w:t>
            </w:r>
            <w:r w:rsidR="004B7D3E">
              <w:rPr>
                <w:rFonts w:ascii="Calibri" w:hAnsi="Calibri"/>
                <w:iCs/>
                <w:szCs w:val="20"/>
              </w:rPr>
              <w:t>Updated</w:t>
            </w:r>
            <w:r w:rsidRPr="0038583D">
              <w:rPr>
                <w:rFonts w:ascii="Calibri" w:hAnsi="Calibri"/>
                <w:iCs/>
                <w:szCs w:val="20"/>
              </w:rPr>
              <w:t xml:space="preserve"> Safeguarding webpage </w:t>
            </w:r>
            <w:r w:rsidR="004B7D3E">
              <w:rPr>
                <w:rFonts w:ascii="Calibri" w:hAnsi="Calibri"/>
                <w:iCs/>
                <w:szCs w:val="20"/>
              </w:rPr>
              <w:t xml:space="preserve">now </w:t>
            </w:r>
            <w:r w:rsidRPr="0038583D">
              <w:rPr>
                <w:rFonts w:ascii="Calibri" w:hAnsi="Calibri"/>
                <w:iCs/>
                <w:szCs w:val="20"/>
              </w:rPr>
              <w:t xml:space="preserve">encompasses </w:t>
            </w:r>
            <w:r w:rsidR="00030F3B" w:rsidRPr="0038583D">
              <w:rPr>
                <w:rFonts w:ascii="Calibri" w:hAnsi="Calibri"/>
                <w:iCs/>
                <w:szCs w:val="20"/>
              </w:rPr>
              <w:t>Prevent and</w:t>
            </w:r>
            <w:r w:rsidRPr="0038583D">
              <w:rPr>
                <w:rFonts w:ascii="Calibri" w:hAnsi="Calibri"/>
                <w:iCs/>
                <w:szCs w:val="20"/>
              </w:rPr>
              <w:t xml:space="preserve"> contains </w:t>
            </w:r>
            <w:r w:rsidR="004B7D3E">
              <w:rPr>
                <w:rFonts w:ascii="Calibri" w:hAnsi="Calibri"/>
                <w:iCs/>
                <w:szCs w:val="20"/>
              </w:rPr>
              <w:t>useful</w:t>
            </w:r>
            <w:r w:rsidRPr="0038583D">
              <w:rPr>
                <w:rFonts w:ascii="Calibri" w:hAnsi="Calibri"/>
                <w:iCs/>
                <w:szCs w:val="20"/>
              </w:rPr>
              <w:t xml:space="preserve"> information, </w:t>
            </w:r>
            <w:r w:rsidR="004B7D3E">
              <w:rPr>
                <w:rFonts w:ascii="Calibri" w:hAnsi="Calibri"/>
                <w:iCs/>
                <w:szCs w:val="20"/>
              </w:rPr>
              <w:t xml:space="preserve">key </w:t>
            </w:r>
            <w:r w:rsidRPr="0038583D">
              <w:rPr>
                <w:rFonts w:ascii="Calibri" w:hAnsi="Calibri"/>
                <w:iCs/>
                <w:szCs w:val="20"/>
              </w:rPr>
              <w:t xml:space="preserve">contacts and guidance. </w:t>
            </w:r>
            <w:r w:rsidR="004B7D3E">
              <w:rPr>
                <w:rFonts w:ascii="Calibri" w:hAnsi="Calibri"/>
                <w:iCs/>
                <w:szCs w:val="20"/>
              </w:rPr>
              <w:t xml:space="preserve">The webpage will be updated regularly to incorporate any </w:t>
            </w:r>
            <w:r w:rsidR="00755FF5">
              <w:rPr>
                <w:rFonts w:ascii="Calibri" w:hAnsi="Calibri"/>
                <w:iCs/>
                <w:szCs w:val="20"/>
              </w:rPr>
              <w:t xml:space="preserve">new </w:t>
            </w:r>
            <w:r w:rsidR="004B7D3E">
              <w:rPr>
                <w:rFonts w:ascii="Calibri" w:hAnsi="Calibri"/>
                <w:iCs/>
                <w:szCs w:val="20"/>
              </w:rPr>
              <w:t>relevant information</w:t>
            </w:r>
            <w:r w:rsidR="00755FF5">
              <w:rPr>
                <w:rFonts w:ascii="Calibri" w:hAnsi="Calibri"/>
                <w:iCs/>
                <w:szCs w:val="20"/>
              </w:rPr>
              <w:t>.</w:t>
            </w:r>
          </w:p>
          <w:p w14:paraId="0C9E112A" w14:textId="77777777" w:rsidR="006C03A0" w:rsidRPr="0038583D" w:rsidRDefault="006C03A0" w:rsidP="00213B4C">
            <w:pPr>
              <w:spacing w:before="100" w:beforeAutospacing="1"/>
              <w:rPr>
                <w:rFonts w:ascii="Calibri" w:hAnsi="Calibri"/>
                <w:iCs/>
                <w:szCs w:val="20"/>
              </w:rPr>
            </w:pPr>
            <w:r w:rsidRPr="0038583D">
              <w:rPr>
                <w:rFonts w:ascii="Calibri" w:hAnsi="Calibri"/>
                <w:iCs/>
                <w:szCs w:val="20"/>
              </w:rPr>
              <w:t>1.2.3 Advise staff of University’s policy and guidance as part of online and face-to-face training.</w:t>
            </w:r>
          </w:p>
        </w:tc>
        <w:tc>
          <w:tcPr>
            <w:tcW w:w="1276" w:type="dxa"/>
            <w:shd w:val="clear" w:color="auto" w:fill="DBE5F1"/>
          </w:tcPr>
          <w:p w14:paraId="2705398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Completed</w:t>
            </w:r>
          </w:p>
          <w:p w14:paraId="0E7C90AD" w14:textId="77777777" w:rsidR="006C03A0" w:rsidRPr="0038583D" w:rsidRDefault="006C03A0" w:rsidP="00213B4C">
            <w:pPr>
              <w:spacing w:before="100" w:beforeAutospacing="1" w:after="120"/>
              <w:rPr>
                <w:rFonts w:ascii="Calibri" w:hAnsi="Calibri"/>
                <w:iCs/>
                <w:szCs w:val="20"/>
              </w:rPr>
            </w:pPr>
          </w:p>
          <w:p w14:paraId="5BC70783"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7D7819CB" w14:textId="77777777" w:rsidR="006C03A0" w:rsidRPr="0038583D" w:rsidRDefault="006C03A0" w:rsidP="00213B4C">
            <w:pPr>
              <w:spacing w:before="100" w:beforeAutospacing="1" w:after="120"/>
              <w:rPr>
                <w:rFonts w:ascii="Calibri" w:hAnsi="Calibri"/>
                <w:iCs/>
                <w:szCs w:val="20"/>
              </w:rPr>
            </w:pPr>
          </w:p>
          <w:p w14:paraId="03828A2B"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Ongoing </w:t>
            </w:r>
          </w:p>
        </w:tc>
        <w:tc>
          <w:tcPr>
            <w:tcW w:w="2268" w:type="dxa"/>
            <w:shd w:val="clear" w:color="auto" w:fill="DBE5F1"/>
          </w:tcPr>
          <w:p w14:paraId="41FB4C3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Director for the Student Experience (JA)</w:t>
            </w:r>
          </w:p>
          <w:p w14:paraId="60A6D2F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Co-ordinator (LS)</w:t>
            </w:r>
          </w:p>
          <w:p w14:paraId="7AF7F511" w14:textId="77777777" w:rsidR="006C03A0" w:rsidRPr="0038583D" w:rsidRDefault="006C03A0" w:rsidP="00213B4C">
            <w:pPr>
              <w:spacing w:before="100" w:beforeAutospacing="1" w:after="120"/>
              <w:rPr>
                <w:rFonts w:ascii="Calibri" w:hAnsi="Calibri"/>
                <w:iCs/>
                <w:szCs w:val="20"/>
              </w:rPr>
            </w:pPr>
          </w:p>
          <w:p w14:paraId="158174E1" w14:textId="488E182D"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HR (</w:t>
            </w:r>
            <w:r w:rsidR="00EF36DB">
              <w:rPr>
                <w:rFonts w:ascii="Calibri" w:hAnsi="Calibri"/>
                <w:iCs/>
                <w:szCs w:val="20"/>
              </w:rPr>
              <w:t>IP</w:t>
            </w:r>
            <w:r w:rsidRPr="0038583D">
              <w:rPr>
                <w:rFonts w:ascii="Calibri" w:hAnsi="Calibri"/>
                <w:iCs/>
                <w:szCs w:val="20"/>
              </w:rPr>
              <w:t>)</w:t>
            </w:r>
          </w:p>
          <w:p w14:paraId="226D9E34" w14:textId="77777777" w:rsidR="006C03A0" w:rsidRPr="0038583D" w:rsidRDefault="006C03A0" w:rsidP="00213B4C">
            <w:pPr>
              <w:spacing w:before="100" w:beforeAutospacing="1" w:after="120"/>
              <w:rPr>
                <w:rFonts w:ascii="Calibri" w:hAnsi="Calibri"/>
                <w:iCs/>
                <w:szCs w:val="20"/>
              </w:rPr>
            </w:pPr>
          </w:p>
        </w:tc>
        <w:tc>
          <w:tcPr>
            <w:tcW w:w="851" w:type="dxa"/>
            <w:shd w:val="clear" w:color="auto" w:fill="DBE5F1"/>
          </w:tcPr>
          <w:p w14:paraId="625AE8C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54A1543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4C27A83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222876" w:rsidRPr="0038583D" w14:paraId="3E77648D" w14:textId="77777777" w:rsidTr="00143761">
        <w:tc>
          <w:tcPr>
            <w:tcW w:w="538" w:type="dxa"/>
            <w:shd w:val="clear" w:color="auto" w:fill="DBE5F1"/>
          </w:tcPr>
          <w:p w14:paraId="103C343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1.3</w:t>
            </w:r>
          </w:p>
        </w:tc>
        <w:tc>
          <w:tcPr>
            <w:tcW w:w="3231" w:type="dxa"/>
            <w:shd w:val="clear" w:color="auto" w:fill="DBE5F1"/>
          </w:tcPr>
          <w:p w14:paraId="70ABD38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Students unaware of the Prevent Duty fail to identify vulnerable friends or fail to access support services for themselves when needed. </w:t>
            </w:r>
          </w:p>
        </w:tc>
        <w:tc>
          <w:tcPr>
            <w:tcW w:w="3744" w:type="dxa"/>
            <w:shd w:val="clear" w:color="auto" w:fill="DBE5F1"/>
          </w:tcPr>
          <w:p w14:paraId="0ADDFE8B" w14:textId="77777777" w:rsidR="006C03A0" w:rsidRPr="0038583D" w:rsidRDefault="006C03A0" w:rsidP="00213B4C">
            <w:pPr>
              <w:pBdr>
                <w:top w:val="single" w:sz="8" w:space="1" w:color="FFFFFF"/>
                <w:left w:val="single" w:sz="8" w:space="1" w:color="FFFFFF"/>
                <w:bottom w:val="single" w:sz="8" w:space="1" w:color="FFFFFF"/>
                <w:right w:val="single" w:sz="8" w:space="1" w:color="FFFFFF"/>
                <w:between w:val="single" w:sz="8" w:space="1" w:color="FFFFFF"/>
                <w:bar w:val="single" w:sz="8" w:color="FFFFFF"/>
              </w:pBdr>
              <w:spacing w:before="100" w:beforeAutospacing="1" w:after="120"/>
              <w:rPr>
                <w:rFonts w:ascii="Calibri" w:hAnsi="Calibri"/>
                <w:szCs w:val="20"/>
              </w:rPr>
            </w:pPr>
            <w:r w:rsidRPr="0038583D">
              <w:rPr>
                <w:rFonts w:ascii="Calibri" w:hAnsi="Calibri"/>
                <w:szCs w:val="20"/>
              </w:rPr>
              <w:t>Information about support services available to students online.</w:t>
            </w:r>
          </w:p>
        </w:tc>
        <w:tc>
          <w:tcPr>
            <w:tcW w:w="286" w:type="dxa"/>
            <w:shd w:val="clear" w:color="auto" w:fill="DBE5F1"/>
          </w:tcPr>
          <w:p w14:paraId="017AC59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075" w:type="dxa"/>
            <w:shd w:val="clear" w:color="auto" w:fill="DBE5F1"/>
          </w:tcPr>
          <w:p w14:paraId="5DFAA99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748" w:type="dxa"/>
            <w:shd w:val="clear" w:color="auto" w:fill="9BBB59"/>
          </w:tcPr>
          <w:p w14:paraId="7449C69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4D55BE38"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 xml:space="preserve">1.3 Student education materials on safeguarding has been updated to give it more visibility. Online materials will be updated as required. </w:t>
            </w:r>
          </w:p>
        </w:tc>
        <w:tc>
          <w:tcPr>
            <w:tcW w:w="1276" w:type="dxa"/>
            <w:shd w:val="clear" w:color="auto" w:fill="DBE5F1"/>
          </w:tcPr>
          <w:p w14:paraId="6D6F38F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5EE8642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Director for the Student Experience (JA)</w:t>
            </w:r>
          </w:p>
        </w:tc>
        <w:tc>
          <w:tcPr>
            <w:tcW w:w="851" w:type="dxa"/>
            <w:shd w:val="clear" w:color="auto" w:fill="DBE5F1"/>
          </w:tcPr>
          <w:p w14:paraId="1456BD2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DBE5F1"/>
          </w:tcPr>
          <w:p w14:paraId="5EA44A1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9BBB59"/>
          </w:tcPr>
          <w:p w14:paraId="5FBBB0B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222876" w:rsidRPr="0038583D" w14:paraId="53805233" w14:textId="77777777" w:rsidTr="00143761">
        <w:trPr>
          <w:trHeight w:val="2554"/>
        </w:trPr>
        <w:tc>
          <w:tcPr>
            <w:tcW w:w="538" w:type="dxa"/>
            <w:shd w:val="clear" w:color="auto" w:fill="DBE5F1"/>
          </w:tcPr>
          <w:p w14:paraId="055949A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1.4</w:t>
            </w:r>
          </w:p>
        </w:tc>
        <w:tc>
          <w:tcPr>
            <w:tcW w:w="3231" w:type="dxa"/>
            <w:shd w:val="clear" w:color="auto" w:fill="DBE5F1"/>
          </w:tcPr>
          <w:p w14:paraId="4D6BF3C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The University </w:t>
            </w:r>
            <w:r w:rsidRPr="0038583D">
              <w:rPr>
                <w:rFonts w:ascii="Calibri" w:hAnsi="Calibri"/>
                <w:szCs w:val="20"/>
              </w:rPr>
              <w:t>fails to keep abreast of the changing ideological challenges of terrorism and ways of identifying those at risk of being vulnerable to extremism and terrorist related activity.</w:t>
            </w:r>
          </w:p>
        </w:tc>
        <w:tc>
          <w:tcPr>
            <w:tcW w:w="3744" w:type="dxa"/>
            <w:shd w:val="clear" w:color="auto" w:fill="DBE5F1"/>
          </w:tcPr>
          <w:p w14:paraId="4174A84F" w14:textId="77777777" w:rsidR="006C03A0" w:rsidRPr="0038583D" w:rsidRDefault="006C03A0" w:rsidP="00213B4C">
            <w:pPr>
              <w:pBdr>
                <w:top w:val="single" w:sz="8" w:space="1" w:color="FFFFFF"/>
                <w:left w:val="single" w:sz="8" w:space="1" w:color="FFFFFF"/>
                <w:bottom w:val="single" w:sz="8" w:space="1" w:color="FFFFFF"/>
                <w:right w:val="single" w:sz="8" w:space="1" w:color="FFFFFF"/>
                <w:between w:val="single" w:sz="8" w:space="1" w:color="FFFFFF"/>
                <w:bar w:val="single" w:sz="8" w:color="FFFFFF"/>
              </w:pBdr>
              <w:rPr>
                <w:rFonts w:ascii="Calibri" w:hAnsi="Calibri"/>
                <w:szCs w:val="20"/>
              </w:rPr>
            </w:pPr>
            <w:r w:rsidRPr="0038583D">
              <w:rPr>
                <w:rFonts w:ascii="Calibri" w:hAnsi="Calibri"/>
                <w:szCs w:val="20"/>
              </w:rPr>
              <w:t>Ongoing monitoring of changing local &amp; HE context through the Steering Group and regular meetings with external partners such as the Brighton &amp; Hove Prevent Board, and our Department for Education Regional Prevent Coordinator.</w:t>
            </w:r>
          </w:p>
          <w:p w14:paraId="3369B851" w14:textId="77777777" w:rsidR="006C03A0" w:rsidRPr="0038583D" w:rsidRDefault="006C03A0" w:rsidP="00213B4C">
            <w:pPr>
              <w:pBdr>
                <w:top w:val="single" w:sz="8" w:space="1" w:color="FFFFFF"/>
                <w:left w:val="single" w:sz="8" w:space="1" w:color="FFFFFF"/>
                <w:bottom w:val="single" w:sz="8" w:space="1" w:color="FFFFFF"/>
                <w:right w:val="single" w:sz="8" w:space="1" w:color="FFFFFF"/>
                <w:between w:val="single" w:sz="8" w:space="1" w:color="FFFFFF"/>
                <w:bar w:val="single" w:sz="8" w:color="FFFFFF"/>
              </w:pBdr>
              <w:rPr>
                <w:rFonts w:ascii="Calibri" w:hAnsi="Calibri"/>
                <w:szCs w:val="20"/>
              </w:rPr>
            </w:pPr>
            <w:r w:rsidRPr="0038583D">
              <w:rPr>
                <w:rFonts w:ascii="Calibri" w:hAnsi="Calibri"/>
                <w:szCs w:val="20"/>
              </w:rPr>
              <w:t>Strong relationships and regular information sharing between University Security and Sussex Police.</w:t>
            </w:r>
          </w:p>
        </w:tc>
        <w:tc>
          <w:tcPr>
            <w:tcW w:w="286" w:type="dxa"/>
            <w:shd w:val="clear" w:color="auto" w:fill="DBE5F1"/>
          </w:tcPr>
          <w:p w14:paraId="79D0B83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5737158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748" w:type="dxa"/>
            <w:shd w:val="clear" w:color="auto" w:fill="9BBB59"/>
          </w:tcPr>
          <w:p w14:paraId="7742B5D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6254" w:type="dxa"/>
            <w:shd w:val="clear" w:color="auto" w:fill="DBE5F1"/>
          </w:tcPr>
          <w:p w14:paraId="5546B6F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1.4.1 Contribution to and dissemination of learnings from the CTLP to wider University, as appropriate.</w:t>
            </w:r>
          </w:p>
          <w:p w14:paraId="14E72FF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1.4.2 Ensure Prevent issues are discussed and trends and concerns continue to be shared with internal partners.</w:t>
            </w:r>
          </w:p>
          <w:p w14:paraId="04284D69" w14:textId="77777777" w:rsidR="006C03A0" w:rsidRPr="0038583D" w:rsidRDefault="006C03A0" w:rsidP="00213B4C">
            <w:pPr>
              <w:spacing w:before="100" w:beforeAutospacing="1" w:after="120"/>
              <w:rPr>
                <w:rFonts w:ascii="Calibri" w:hAnsi="Calibri"/>
                <w:iCs/>
                <w:szCs w:val="20"/>
              </w:rPr>
            </w:pPr>
          </w:p>
          <w:p w14:paraId="192E627B" w14:textId="77777777" w:rsidR="006C03A0" w:rsidRPr="0038583D" w:rsidRDefault="006C03A0" w:rsidP="00213B4C">
            <w:pPr>
              <w:spacing w:before="100" w:beforeAutospacing="1" w:after="120"/>
              <w:rPr>
                <w:rFonts w:ascii="Calibri" w:hAnsi="Calibri"/>
                <w:iCs/>
                <w:szCs w:val="20"/>
              </w:rPr>
            </w:pPr>
          </w:p>
        </w:tc>
        <w:tc>
          <w:tcPr>
            <w:tcW w:w="1276" w:type="dxa"/>
            <w:shd w:val="clear" w:color="auto" w:fill="DBE5F1"/>
          </w:tcPr>
          <w:p w14:paraId="2384B80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359529AE" w14:textId="77777777" w:rsidR="006C03A0" w:rsidRPr="0038583D" w:rsidRDefault="006C03A0" w:rsidP="00213B4C">
            <w:pPr>
              <w:spacing w:before="100" w:beforeAutospacing="1" w:after="120"/>
              <w:rPr>
                <w:rFonts w:ascii="Calibri" w:hAnsi="Calibri"/>
                <w:iCs/>
                <w:szCs w:val="20"/>
              </w:rPr>
            </w:pPr>
          </w:p>
          <w:p w14:paraId="366CCE1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072AB541" w14:textId="0E4247A6"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Lead (</w:t>
            </w:r>
            <w:r w:rsidR="00EF36DB">
              <w:rPr>
                <w:rFonts w:ascii="Calibri" w:hAnsi="Calibri"/>
                <w:iCs/>
                <w:szCs w:val="20"/>
              </w:rPr>
              <w:t>N</w:t>
            </w:r>
            <w:r w:rsidRPr="0038583D">
              <w:rPr>
                <w:rFonts w:ascii="Calibri" w:hAnsi="Calibri"/>
                <w:iCs/>
                <w:szCs w:val="20"/>
              </w:rPr>
              <w:t xml:space="preserve">E) </w:t>
            </w:r>
          </w:p>
          <w:p w14:paraId="0C7825E1" w14:textId="77777777" w:rsidR="006C03A0" w:rsidRPr="0038583D" w:rsidRDefault="006C03A0" w:rsidP="00213B4C">
            <w:pPr>
              <w:spacing w:before="100" w:beforeAutospacing="1" w:after="120"/>
              <w:rPr>
                <w:rFonts w:ascii="Calibri" w:hAnsi="Calibri"/>
                <w:iCs/>
                <w:szCs w:val="20"/>
              </w:rPr>
            </w:pPr>
          </w:p>
          <w:p w14:paraId="7851E31B"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Director for the Student Experience (JA)</w:t>
            </w:r>
          </w:p>
        </w:tc>
        <w:tc>
          <w:tcPr>
            <w:tcW w:w="851" w:type="dxa"/>
            <w:shd w:val="clear" w:color="auto" w:fill="DBE5F1"/>
          </w:tcPr>
          <w:p w14:paraId="78826FC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3F061D2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1134" w:type="dxa"/>
            <w:shd w:val="clear" w:color="auto" w:fill="9BBB59"/>
          </w:tcPr>
          <w:p w14:paraId="6899132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r>
      <w:tr w:rsidR="006C03A0" w:rsidRPr="0038583D" w14:paraId="775446C4" w14:textId="77777777" w:rsidTr="00143761">
        <w:tc>
          <w:tcPr>
            <w:tcW w:w="22539" w:type="dxa"/>
            <w:gridSpan w:val="12"/>
            <w:shd w:val="clear" w:color="auto" w:fill="1F497D"/>
          </w:tcPr>
          <w:p w14:paraId="7CDE4D9C" w14:textId="77777777" w:rsidR="006C03A0" w:rsidRPr="0038583D" w:rsidRDefault="006C03A0" w:rsidP="00213B4C">
            <w:pPr>
              <w:spacing w:before="100" w:beforeAutospacing="1" w:after="120"/>
              <w:rPr>
                <w:rFonts w:ascii="Calibri" w:hAnsi="Calibri"/>
                <w:b/>
                <w:iCs/>
                <w:szCs w:val="20"/>
              </w:rPr>
            </w:pPr>
            <w:r w:rsidRPr="0038583D">
              <w:rPr>
                <w:rFonts w:ascii="Calibri" w:hAnsi="Calibri"/>
                <w:b/>
                <w:noProof/>
                <w:color w:val="FFFFFF"/>
                <w:szCs w:val="20"/>
              </w:rPr>
              <w:lastRenderedPageBreak/>
              <w:t>National Prevent Objective 2: Prevent people from being drawn into terrorism and ensure that they are given appropriate advice and support</w:t>
            </w:r>
          </w:p>
        </w:tc>
      </w:tr>
      <w:tr w:rsidR="006C03A0" w:rsidRPr="0038583D" w14:paraId="636603B4" w14:textId="77777777" w:rsidTr="00143761">
        <w:tc>
          <w:tcPr>
            <w:tcW w:w="22539" w:type="dxa"/>
            <w:gridSpan w:val="12"/>
            <w:shd w:val="clear" w:color="auto" w:fill="4F81BD"/>
          </w:tcPr>
          <w:p w14:paraId="772BB906" w14:textId="77777777" w:rsidR="006C03A0" w:rsidRPr="0038583D" w:rsidRDefault="006C03A0" w:rsidP="00213B4C">
            <w:pPr>
              <w:spacing w:before="100" w:beforeAutospacing="1" w:after="120"/>
              <w:rPr>
                <w:rFonts w:ascii="Calibri" w:hAnsi="Calibri"/>
                <w:b/>
                <w:iCs/>
                <w:szCs w:val="20"/>
              </w:rPr>
            </w:pPr>
            <w:r w:rsidRPr="0038583D">
              <w:rPr>
                <w:rFonts w:ascii="Calibri" w:hAnsi="Calibri"/>
                <w:color w:val="FFFFFF"/>
                <w:szCs w:val="20"/>
              </w:rPr>
              <w:t>University of Sussex Outcome: Using a risk-based approach, individuals vulnerable to being drawn into terrorist related activities are identified at an early stage with support and intervention provided to reduce risk.</w:t>
            </w:r>
          </w:p>
        </w:tc>
      </w:tr>
      <w:tr w:rsidR="00264642" w:rsidRPr="0038583D" w14:paraId="7D0F34AA" w14:textId="77777777" w:rsidTr="00143761">
        <w:trPr>
          <w:trHeight w:val="953"/>
        </w:trPr>
        <w:tc>
          <w:tcPr>
            <w:tcW w:w="538" w:type="dxa"/>
            <w:shd w:val="clear" w:color="auto" w:fill="95B3D7"/>
          </w:tcPr>
          <w:p w14:paraId="5BA8F937"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No.</w:t>
            </w:r>
          </w:p>
        </w:tc>
        <w:tc>
          <w:tcPr>
            <w:tcW w:w="3231" w:type="dxa"/>
            <w:shd w:val="clear" w:color="auto" w:fill="95B3D7"/>
          </w:tcPr>
          <w:p w14:paraId="7C6D913D"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Risk</w:t>
            </w:r>
          </w:p>
        </w:tc>
        <w:tc>
          <w:tcPr>
            <w:tcW w:w="3744" w:type="dxa"/>
            <w:shd w:val="clear" w:color="auto" w:fill="95B3D7"/>
          </w:tcPr>
          <w:p w14:paraId="1269BE55"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Mitigating Action (existing)</w:t>
            </w:r>
          </w:p>
        </w:tc>
        <w:tc>
          <w:tcPr>
            <w:tcW w:w="286" w:type="dxa"/>
            <w:shd w:val="clear" w:color="auto" w:fill="95B3D7"/>
          </w:tcPr>
          <w:p w14:paraId="7DB78F61"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Likelihood</w:t>
            </w:r>
          </w:p>
        </w:tc>
        <w:tc>
          <w:tcPr>
            <w:tcW w:w="1075" w:type="dxa"/>
            <w:shd w:val="clear" w:color="auto" w:fill="95B3D7"/>
          </w:tcPr>
          <w:p w14:paraId="0604678A"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Impact</w:t>
            </w:r>
          </w:p>
        </w:tc>
        <w:tc>
          <w:tcPr>
            <w:tcW w:w="748" w:type="dxa"/>
            <w:shd w:val="clear" w:color="auto" w:fill="95B3D7"/>
          </w:tcPr>
          <w:p w14:paraId="7204D0CD"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Risk Rating</w:t>
            </w:r>
          </w:p>
        </w:tc>
        <w:tc>
          <w:tcPr>
            <w:tcW w:w="6254" w:type="dxa"/>
            <w:shd w:val="clear" w:color="auto" w:fill="95B3D7"/>
          </w:tcPr>
          <w:p w14:paraId="3DCB471A"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Planned Mitigating Actions</w:t>
            </w:r>
          </w:p>
        </w:tc>
        <w:tc>
          <w:tcPr>
            <w:tcW w:w="1276" w:type="dxa"/>
            <w:shd w:val="clear" w:color="auto" w:fill="95B3D7"/>
          </w:tcPr>
          <w:p w14:paraId="3A738963"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Timing</w:t>
            </w:r>
          </w:p>
        </w:tc>
        <w:tc>
          <w:tcPr>
            <w:tcW w:w="2268" w:type="dxa"/>
            <w:shd w:val="clear" w:color="auto" w:fill="95B3D7"/>
          </w:tcPr>
          <w:p w14:paraId="7D6A65BD"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Owner</w:t>
            </w:r>
          </w:p>
        </w:tc>
        <w:tc>
          <w:tcPr>
            <w:tcW w:w="3119" w:type="dxa"/>
            <w:gridSpan w:val="3"/>
            <w:shd w:val="clear" w:color="auto" w:fill="95B3D7"/>
          </w:tcPr>
          <w:p w14:paraId="75CE0E80"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Residual Risk Rating</w:t>
            </w:r>
          </w:p>
        </w:tc>
      </w:tr>
      <w:tr w:rsidR="00222876" w:rsidRPr="0038583D" w14:paraId="24F5036E" w14:textId="77777777" w:rsidTr="00143761">
        <w:trPr>
          <w:trHeight w:val="4563"/>
        </w:trPr>
        <w:tc>
          <w:tcPr>
            <w:tcW w:w="538" w:type="dxa"/>
            <w:shd w:val="clear" w:color="auto" w:fill="DBE5F1"/>
          </w:tcPr>
          <w:p w14:paraId="4B645AD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2.1</w:t>
            </w:r>
          </w:p>
        </w:tc>
        <w:tc>
          <w:tcPr>
            <w:tcW w:w="3231" w:type="dxa"/>
            <w:shd w:val="clear" w:color="auto" w:fill="DBE5F1"/>
          </w:tcPr>
          <w:p w14:paraId="63FCBD8B" w14:textId="77777777" w:rsidR="006C03A0" w:rsidRPr="0038583D" w:rsidRDefault="006C03A0" w:rsidP="00213B4C">
            <w:pPr>
              <w:keepNext/>
              <w:widowControl w:val="0"/>
              <w:spacing w:before="100" w:beforeAutospacing="1" w:after="120"/>
              <w:rPr>
                <w:rFonts w:ascii="Calibri" w:hAnsi="Calibri"/>
                <w:iCs/>
                <w:szCs w:val="20"/>
              </w:rPr>
            </w:pPr>
            <w:r w:rsidRPr="0038583D">
              <w:rPr>
                <w:rFonts w:ascii="Calibri" w:hAnsi="Calibri"/>
                <w:szCs w:val="20"/>
              </w:rPr>
              <w:t xml:space="preserve">Vulnerable individuals are drawn into terrorist related activities through online use and are not identified early and provided with support and intervention. </w:t>
            </w:r>
          </w:p>
        </w:tc>
        <w:tc>
          <w:tcPr>
            <w:tcW w:w="3744" w:type="dxa"/>
            <w:shd w:val="clear" w:color="auto" w:fill="DBE5F1"/>
          </w:tcPr>
          <w:p w14:paraId="7200717B" w14:textId="77777777" w:rsidR="006C03A0" w:rsidRPr="0038583D" w:rsidRDefault="006C03A0" w:rsidP="00213B4C">
            <w:pPr>
              <w:spacing w:before="100" w:beforeAutospacing="1" w:after="120"/>
              <w:rPr>
                <w:rFonts w:ascii="Calibri" w:hAnsi="Calibri"/>
                <w:b/>
                <w:iCs/>
                <w:szCs w:val="20"/>
              </w:rPr>
            </w:pPr>
            <w:r w:rsidRPr="0038583D">
              <w:rPr>
                <w:rFonts w:ascii="Calibri" w:hAnsi="Calibri"/>
                <w:szCs w:val="20"/>
              </w:rPr>
              <w:t>IT monitoring of internet activity relating to websites containing extremist material and follow-up action and referrals</w:t>
            </w:r>
            <w:r w:rsidRPr="0038583D">
              <w:rPr>
                <w:rFonts w:ascii="Calibri" w:hAnsi="Calibri"/>
                <w:szCs w:val="20"/>
                <w:vertAlign w:val="superscript"/>
              </w:rPr>
              <w:footnoteReference w:id="2"/>
            </w:r>
          </w:p>
        </w:tc>
        <w:tc>
          <w:tcPr>
            <w:tcW w:w="286" w:type="dxa"/>
            <w:shd w:val="clear" w:color="auto" w:fill="DBE5F1"/>
          </w:tcPr>
          <w:p w14:paraId="160E82C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075" w:type="dxa"/>
            <w:shd w:val="clear" w:color="auto" w:fill="DBE5F1"/>
          </w:tcPr>
          <w:p w14:paraId="45BBF95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748" w:type="dxa"/>
            <w:shd w:val="clear" w:color="auto" w:fill="FFC000"/>
          </w:tcPr>
          <w:p w14:paraId="575856EA" w14:textId="77777777" w:rsidR="006C03A0" w:rsidRPr="0038583D" w:rsidRDefault="006C03A0" w:rsidP="00213B4C">
            <w:pPr>
              <w:spacing w:before="100" w:beforeAutospacing="1" w:after="120"/>
              <w:rPr>
                <w:rFonts w:ascii="Calibri" w:hAnsi="Calibri"/>
                <w:b/>
                <w:iCs/>
                <w:szCs w:val="20"/>
              </w:rPr>
            </w:pPr>
            <w:r w:rsidRPr="0038583D">
              <w:rPr>
                <w:rFonts w:ascii="Calibri" w:hAnsi="Calibri"/>
                <w:b/>
                <w:iCs/>
                <w:szCs w:val="20"/>
              </w:rPr>
              <w:t>6</w:t>
            </w:r>
          </w:p>
        </w:tc>
        <w:tc>
          <w:tcPr>
            <w:tcW w:w="6254" w:type="dxa"/>
            <w:shd w:val="clear" w:color="auto" w:fill="DBE5F1"/>
          </w:tcPr>
          <w:p w14:paraId="730B3B93"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2.1.1 Early engagement with external experts and Channel referral process.</w:t>
            </w:r>
          </w:p>
          <w:p w14:paraId="10F97E2D" w14:textId="77777777" w:rsidR="006C03A0" w:rsidRPr="0038583D" w:rsidRDefault="006C03A0" w:rsidP="00213B4C">
            <w:pPr>
              <w:rPr>
                <w:rFonts w:ascii="Calibri" w:hAnsi="Calibri"/>
                <w:szCs w:val="20"/>
              </w:rPr>
            </w:pPr>
            <w:r w:rsidRPr="0038583D">
              <w:rPr>
                <w:rFonts w:ascii="Calibri" w:hAnsi="Calibri"/>
                <w:iCs/>
                <w:szCs w:val="20"/>
              </w:rPr>
              <w:t xml:space="preserve">2.1.2 </w:t>
            </w:r>
            <w:r w:rsidRPr="0038583D">
              <w:rPr>
                <w:rFonts w:ascii="Calibri" w:hAnsi="Calibri"/>
                <w:szCs w:val="20"/>
              </w:rPr>
              <w:t>Consider current staff and student information and training to build digital resilience and awareness about online safety.</w:t>
            </w:r>
            <w:r w:rsidRPr="0038583D">
              <w:rPr>
                <w:rFonts w:ascii="Calibri" w:hAnsi="Calibri"/>
                <w:szCs w:val="20"/>
                <w:vertAlign w:val="superscript"/>
              </w:rPr>
              <w:footnoteReference w:id="3"/>
            </w:r>
          </w:p>
          <w:p w14:paraId="4E6A3CEB" w14:textId="77777777" w:rsidR="006C03A0" w:rsidRPr="0038583D" w:rsidRDefault="006C03A0" w:rsidP="00213B4C">
            <w:pPr>
              <w:rPr>
                <w:rFonts w:ascii="Calibri" w:hAnsi="Calibri"/>
                <w:iCs/>
                <w:szCs w:val="20"/>
              </w:rPr>
            </w:pPr>
          </w:p>
          <w:p w14:paraId="5CAFE287" w14:textId="77777777" w:rsidR="006C03A0" w:rsidRPr="0038583D" w:rsidRDefault="006C03A0" w:rsidP="00213B4C">
            <w:pPr>
              <w:rPr>
                <w:rFonts w:ascii="Calibri" w:hAnsi="Calibri"/>
                <w:iCs/>
                <w:szCs w:val="20"/>
              </w:rPr>
            </w:pPr>
            <w:bookmarkStart w:id="0" w:name="_Hlk70000879"/>
            <w:r w:rsidRPr="0038583D">
              <w:rPr>
                <w:rFonts w:ascii="Calibri" w:hAnsi="Calibri"/>
                <w:iCs/>
                <w:szCs w:val="20"/>
              </w:rPr>
              <w:t xml:space="preserve">2.1.3 A process for IT monitoring </w:t>
            </w:r>
            <w:bookmarkEnd w:id="0"/>
            <w:r w:rsidRPr="0038583D">
              <w:rPr>
                <w:rFonts w:ascii="Calibri" w:hAnsi="Calibri"/>
                <w:iCs/>
                <w:szCs w:val="20"/>
              </w:rPr>
              <w:t>has been established in line with the acceptable use policy of Jisc, the University’s internet provider. This ensures parity of treatment and updates the list of our flagged sites as appropriate.</w:t>
            </w:r>
          </w:p>
          <w:p w14:paraId="6292491B" w14:textId="77777777" w:rsidR="006C03A0" w:rsidRPr="0038583D" w:rsidRDefault="006C03A0" w:rsidP="00213B4C">
            <w:pPr>
              <w:rPr>
                <w:rFonts w:ascii="Calibri" w:hAnsi="Calibri"/>
                <w:iCs/>
                <w:szCs w:val="20"/>
              </w:rPr>
            </w:pPr>
          </w:p>
          <w:p w14:paraId="5072615A" w14:textId="77777777" w:rsidR="0055586F" w:rsidRDefault="0055586F" w:rsidP="00213B4C">
            <w:pPr>
              <w:rPr>
                <w:rFonts w:ascii="Calibri" w:hAnsi="Calibri"/>
                <w:iCs/>
                <w:szCs w:val="20"/>
              </w:rPr>
            </w:pPr>
          </w:p>
          <w:p w14:paraId="58CD4A53" w14:textId="77777777" w:rsidR="0055586F" w:rsidRDefault="0055586F" w:rsidP="00213B4C">
            <w:pPr>
              <w:rPr>
                <w:rFonts w:ascii="Calibri" w:hAnsi="Calibri"/>
                <w:iCs/>
                <w:szCs w:val="20"/>
              </w:rPr>
            </w:pPr>
          </w:p>
          <w:p w14:paraId="3698B7F3" w14:textId="77777777" w:rsidR="0055586F" w:rsidRDefault="0055586F" w:rsidP="00213B4C">
            <w:pPr>
              <w:rPr>
                <w:rFonts w:ascii="Calibri" w:hAnsi="Calibri"/>
                <w:iCs/>
                <w:szCs w:val="20"/>
              </w:rPr>
            </w:pPr>
          </w:p>
          <w:p w14:paraId="210B7883" w14:textId="39050DC0" w:rsidR="006C03A0" w:rsidRPr="0038583D" w:rsidRDefault="006C03A0" w:rsidP="00213B4C">
            <w:pPr>
              <w:rPr>
                <w:rFonts w:ascii="Calibri" w:hAnsi="Calibri"/>
                <w:iCs/>
                <w:szCs w:val="20"/>
              </w:rPr>
            </w:pPr>
            <w:r w:rsidRPr="0038583D">
              <w:rPr>
                <w:rFonts w:ascii="Calibri" w:hAnsi="Calibri"/>
                <w:iCs/>
                <w:szCs w:val="20"/>
              </w:rPr>
              <w:t xml:space="preserve">2.1.4 </w:t>
            </w:r>
            <w:bookmarkStart w:id="1" w:name="_Hlk70000895"/>
            <w:r w:rsidRPr="0038583D">
              <w:rPr>
                <w:rFonts w:ascii="Calibri" w:hAnsi="Calibri"/>
                <w:iCs/>
                <w:szCs w:val="20"/>
              </w:rPr>
              <w:t>Consider what options are available to the University to proactively discourage viewing of websites containing extremist material.</w:t>
            </w:r>
            <w:r w:rsidR="0055586F">
              <w:rPr>
                <w:rFonts w:ascii="Calibri" w:hAnsi="Calibri"/>
                <w:iCs/>
                <w:szCs w:val="20"/>
              </w:rPr>
              <w:t xml:space="preserve"> </w:t>
            </w:r>
          </w:p>
          <w:bookmarkEnd w:id="1"/>
          <w:p w14:paraId="501AFC0D" w14:textId="77777777" w:rsidR="006C03A0" w:rsidRPr="0038583D" w:rsidRDefault="006C03A0" w:rsidP="00213B4C">
            <w:pPr>
              <w:rPr>
                <w:rFonts w:ascii="Calibri" w:hAnsi="Calibri"/>
                <w:iCs/>
                <w:szCs w:val="20"/>
              </w:rPr>
            </w:pPr>
          </w:p>
        </w:tc>
        <w:tc>
          <w:tcPr>
            <w:tcW w:w="1276" w:type="dxa"/>
            <w:shd w:val="clear" w:color="auto" w:fill="DBE5F1"/>
          </w:tcPr>
          <w:p w14:paraId="36445CFC" w14:textId="77777777" w:rsidR="006C03A0" w:rsidRPr="0038583D" w:rsidRDefault="006C03A0" w:rsidP="00213B4C">
            <w:pPr>
              <w:rPr>
                <w:rFonts w:ascii="Calibri" w:hAnsi="Calibri"/>
                <w:iCs/>
                <w:szCs w:val="20"/>
              </w:rPr>
            </w:pPr>
            <w:r w:rsidRPr="0038583D">
              <w:rPr>
                <w:rFonts w:ascii="Calibri" w:hAnsi="Calibri"/>
                <w:iCs/>
                <w:szCs w:val="20"/>
              </w:rPr>
              <w:t xml:space="preserve">Ongoing </w:t>
            </w:r>
          </w:p>
          <w:p w14:paraId="77AFF65A" w14:textId="77777777" w:rsidR="006C03A0" w:rsidRPr="0038583D" w:rsidRDefault="006C03A0" w:rsidP="00213B4C">
            <w:pPr>
              <w:rPr>
                <w:rFonts w:ascii="Calibri" w:hAnsi="Calibri"/>
                <w:iCs/>
                <w:szCs w:val="20"/>
              </w:rPr>
            </w:pPr>
          </w:p>
          <w:p w14:paraId="348ACD7D" w14:textId="77777777" w:rsidR="006C03A0" w:rsidRPr="0038583D" w:rsidRDefault="006C03A0" w:rsidP="00213B4C">
            <w:pPr>
              <w:rPr>
                <w:rFonts w:ascii="Calibri" w:hAnsi="Calibri"/>
                <w:iCs/>
                <w:szCs w:val="20"/>
              </w:rPr>
            </w:pPr>
            <w:r w:rsidRPr="0038583D">
              <w:rPr>
                <w:rFonts w:ascii="Calibri" w:hAnsi="Calibri"/>
                <w:iCs/>
                <w:szCs w:val="20"/>
              </w:rPr>
              <w:t xml:space="preserve">Ongoing and part of the </w:t>
            </w:r>
            <w:r w:rsidRPr="0038583D">
              <w:rPr>
                <w:rFonts w:ascii="Calibri" w:hAnsi="Calibri"/>
                <w:szCs w:val="20"/>
              </w:rPr>
              <w:t>cyber security programme</w:t>
            </w:r>
          </w:p>
          <w:p w14:paraId="4BF9F260" w14:textId="77777777" w:rsidR="006C03A0" w:rsidRPr="0038583D" w:rsidRDefault="006C03A0" w:rsidP="00213B4C">
            <w:pPr>
              <w:rPr>
                <w:rFonts w:ascii="Calibri" w:hAnsi="Calibri"/>
                <w:iCs/>
                <w:szCs w:val="20"/>
              </w:rPr>
            </w:pPr>
          </w:p>
          <w:p w14:paraId="4ED42F08" w14:textId="77777777" w:rsidR="006C03A0" w:rsidRPr="0038583D" w:rsidRDefault="006C03A0" w:rsidP="00213B4C">
            <w:pPr>
              <w:rPr>
                <w:rFonts w:ascii="Calibri" w:hAnsi="Calibri"/>
                <w:iCs/>
                <w:szCs w:val="20"/>
              </w:rPr>
            </w:pPr>
          </w:p>
          <w:p w14:paraId="3D1D1DCC" w14:textId="77777777" w:rsidR="006C03A0" w:rsidRPr="0038583D" w:rsidRDefault="006C03A0" w:rsidP="00213B4C">
            <w:pPr>
              <w:rPr>
                <w:rFonts w:ascii="Calibri" w:hAnsi="Calibri"/>
                <w:iCs/>
                <w:szCs w:val="20"/>
              </w:rPr>
            </w:pPr>
            <w:r w:rsidRPr="0038583D">
              <w:rPr>
                <w:rFonts w:ascii="Calibri" w:hAnsi="Calibri"/>
                <w:iCs/>
                <w:szCs w:val="20"/>
              </w:rPr>
              <w:t xml:space="preserve">Ongoing </w:t>
            </w:r>
          </w:p>
          <w:p w14:paraId="210CF76C" w14:textId="77777777" w:rsidR="006C03A0" w:rsidRPr="0038583D" w:rsidRDefault="006C03A0" w:rsidP="00213B4C">
            <w:pPr>
              <w:rPr>
                <w:rFonts w:ascii="Calibri" w:hAnsi="Calibri"/>
                <w:iCs/>
                <w:szCs w:val="20"/>
              </w:rPr>
            </w:pPr>
          </w:p>
          <w:p w14:paraId="097CBBAF" w14:textId="77777777" w:rsidR="006C03A0" w:rsidRPr="0038583D" w:rsidRDefault="006C03A0" w:rsidP="00213B4C">
            <w:pPr>
              <w:rPr>
                <w:rFonts w:ascii="Calibri" w:hAnsi="Calibri"/>
                <w:iCs/>
                <w:szCs w:val="20"/>
              </w:rPr>
            </w:pPr>
          </w:p>
          <w:p w14:paraId="1138ED10" w14:textId="77777777" w:rsidR="006C03A0" w:rsidRPr="0038583D" w:rsidRDefault="006C03A0" w:rsidP="00213B4C">
            <w:pPr>
              <w:rPr>
                <w:rFonts w:ascii="Calibri" w:hAnsi="Calibri"/>
                <w:iCs/>
                <w:szCs w:val="20"/>
              </w:rPr>
            </w:pPr>
          </w:p>
          <w:p w14:paraId="4FEB3309" w14:textId="64BABADC" w:rsidR="006C03A0" w:rsidRPr="0038583D" w:rsidRDefault="006C03A0" w:rsidP="00213B4C">
            <w:pPr>
              <w:rPr>
                <w:rFonts w:ascii="Calibri" w:hAnsi="Calibri"/>
                <w:iCs/>
                <w:szCs w:val="20"/>
              </w:rPr>
            </w:pPr>
            <w:r w:rsidRPr="0038583D">
              <w:rPr>
                <w:rFonts w:ascii="Calibri" w:hAnsi="Calibri"/>
                <w:iCs/>
                <w:szCs w:val="20"/>
              </w:rPr>
              <w:t xml:space="preserve"> </w:t>
            </w:r>
            <w:r w:rsidR="0055586F">
              <w:rPr>
                <w:rFonts w:ascii="Calibri" w:hAnsi="Calibri"/>
                <w:iCs/>
                <w:szCs w:val="20"/>
              </w:rPr>
              <w:t>Ongoing</w:t>
            </w:r>
          </w:p>
          <w:p w14:paraId="0D11D144" w14:textId="77777777" w:rsidR="006C03A0" w:rsidRPr="0038583D" w:rsidRDefault="006C03A0" w:rsidP="00213B4C">
            <w:pPr>
              <w:rPr>
                <w:rFonts w:ascii="Calibri" w:hAnsi="Calibri"/>
                <w:iCs/>
                <w:szCs w:val="20"/>
              </w:rPr>
            </w:pPr>
          </w:p>
        </w:tc>
        <w:tc>
          <w:tcPr>
            <w:tcW w:w="2268" w:type="dxa"/>
            <w:shd w:val="clear" w:color="auto" w:fill="DBE5F1"/>
          </w:tcPr>
          <w:p w14:paraId="7F95CDE1" w14:textId="6A9F75AB"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Lead (</w:t>
            </w:r>
            <w:r w:rsidR="00EF36DB">
              <w:rPr>
                <w:rFonts w:ascii="Calibri" w:hAnsi="Calibri"/>
                <w:iCs/>
                <w:szCs w:val="20"/>
              </w:rPr>
              <w:t>N</w:t>
            </w:r>
            <w:r w:rsidRPr="0038583D">
              <w:rPr>
                <w:rFonts w:ascii="Calibri" w:hAnsi="Calibri"/>
                <w:iCs/>
                <w:szCs w:val="20"/>
              </w:rPr>
              <w:t>E)</w:t>
            </w:r>
          </w:p>
          <w:p w14:paraId="31082913" w14:textId="0272029B"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Lead (</w:t>
            </w:r>
            <w:r w:rsidR="00EF36DB">
              <w:rPr>
                <w:rFonts w:ascii="Calibri" w:hAnsi="Calibri"/>
                <w:iCs/>
                <w:szCs w:val="20"/>
              </w:rPr>
              <w:t>N</w:t>
            </w:r>
            <w:r w:rsidRPr="0038583D">
              <w:rPr>
                <w:rFonts w:ascii="Calibri" w:hAnsi="Calibri"/>
                <w:iCs/>
                <w:szCs w:val="20"/>
              </w:rPr>
              <w:t>E) and ITS</w:t>
            </w:r>
          </w:p>
          <w:p w14:paraId="211C8CF4" w14:textId="77777777" w:rsidR="006C03A0" w:rsidRPr="0038583D" w:rsidRDefault="006C03A0" w:rsidP="00213B4C">
            <w:pPr>
              <w:spacing w:before="100" w:beforeAutospacing="1" w:after="120"/>
              <w:rPr>
                <w:rFonts w:ascii="Calibri" w:hAnsi="Calibri"/>
                <w:b/>
                <w:iCs/>
                <w:szCs w:val="20"/>
              </w:rPr>
            </w:pPr>
          </w:p>
          <w:p w14:paraId="5F583851" w14:textId="633266DF" w:rsidR="006C03A0" w:rsidRPr="0038583D" w:rsidRDefault="006C03A0" w:rsidP="00213B4C">
            <w:pPr>
              <w:spacing w:before="100" w:beforeAutospacing="1" w:after="120"/>
              <w:rPr>
                <w:rFonts w:ascii="Calibri" w:hAnsi="Calibri"/>
                <w:b/>
                <w:iCs/>
                <w:szCs w:val="20"/>
              </w:rPr>
            </w:pPr>
            <w:r w:rsidRPr="0038583D">
              <w:rPr>
                <w:rFonts w:ascii="Calibri" w:hAnsi="Calibri"/>
                <w:iCs/>
                <w:szCs w:val="20"/>
              </w:rPr>
              <w:t>Prevent Steering Group to have oversight. Prevent Co-ordinator (LS) work</w:t>
            </w:r>
            <w:r w:rsidR="0055586F">
              <w:rPr>
                <w:rFonts w:ascii="Calibri" w:hAnsi="Calibri"/>
                <w:iCs/>
                <w:szCs w:val="20"/>
              </w:rPr>
              <w:t xml:space="preserve">s collaboratively </w:t>
            </w:r>
            <w:r w:rsidRPr="0038583D">
              <w:rPr>
                <w:rFonts w:ascii="Calibri" w:hAnsi="Calibri"/>
                <w:iCs/>
                <w:szCs w:val="20"/>
              </w:rPr>
              <w:t>with ITS.</w:t>
            </w:r>
          </w:p>
          <w:p w14:paraId="567566CC" w14:textId="77777777" w:rsidR="006C03A0" w:rsidRPr="0038583D" w:rsidRDefault="006C03A0" w:rsidP="00213B4C">
            <w:pPr>
              <w:spacing w:before="100" w:beforeAutospacing="1" w:after="120"/>
              <w:rPr>
                <w:rFonts w:ascii="Calibri" w:hAnsi="Calibri"/>
                <w:b/>
                <w:iCs/>
                <w:szCs w:val="20"/>
              </w:rPr>
            </w:pPr>
            <w:r w:rsidRPr="0038583D">
              <w:rPr>
                <w:rFonts w:ascii="Calibri" w:hAnsi="Calibri"/>
                <w:iCs/>
                <w:szCs w:val="20"/>
              </w:rPr>
              <w:t>Prevent Steering Group to have oversight. Prevent Co-ordinator (LS) to work with ITS and DfE and Police Prevent Co-ordinators.</w:t>
            </w:r>
          </w:p>
        </w:tc>
        <w:tc>
          <w:tcPr>
            <w:tcW w:w="851" w:type="dxa"/>
            <w:shd w:val="clear" w:color="auto" w:fill="DBE5F1"/>
          </w:tcPr>
          <w:p w14:paraId="70F5851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16007DA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1134" w:type="dxa"/>
            <w:shd w:val="clear" w:color="auto" w:fill="9BBB59"/>
          </w:tcPr>
          <w:p w14:paraId="2BE2557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r>
      <w:tr w:rsidR="00222876" w:rsidRPr="0038583D" w14:paraId="1D059CC4" w14:textId="77777777" w:rsidTr="00143761">
        <w:tc>
          <w:tcPr>
            <w:tcW w:w="538" w:type="dxa"/>
            <w:shd w:val="clear" w:color="auto" w:fill="DBE5F1"/>
          </w:tcPr>
          <w:p w14:paraId="669166F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2.2</w:t>
            </w:r>
          </w:p>
        </w:tc>
        <w:tc>
          <w:tcPr>
            <w:tcW w:w="3231" w:type="dxa"/>
            <w:shd w:val="clear" w:color="auto" w:fill="DBE5F1"/>
          </w:tcPr>
          <w:p w14:paraId="7327903B" w14:textId="1B4EAFE2"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Failure to balance freedom of speech with Prevent monitoring duties to monitor and mitigate external speaker activity which risks drawing vulnerable individuals into extremism or terrorist related activity</w:t>
            </w:r>
            <w:r w:rsidR="00A6662D">
              <w:rPr>
                <w:rFonts w:ascii="Calibri" w:hAnsi="Calibri"/>
                <w:iCs/>
                <w:szCs w:val="20"/>
              </w:rPr>
              <w:t>.</w:t>
            </w:r>
          </w:p>
        </w:tc>
        <w:tc>
          <w:tcPr>
            <w:tcW w:w="3744" w:type="dxa"/>
            <w:shd w:val="clear" w:color="auto" w:fill="DBE5F1"/>
          </w:tcPr>
          <w:p w14:paraId="4FD50F5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Freedom of Speech Code of Practice and External Speakers Procedures promulgated online.</w:t>
            </w:r>
          </w:p>
          <w:p w14:paraId="3BBB13D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External speakers risk assessed by relevant USSU or University officers and appropriate mitigations put in place.</w:t>
            </w:r>
          </w:p>
        </w:tc>
        <w:tc>
          <w:tcPr>
            <w:tcW w:w="286" w:type="dxa"/>
            <w:shd w:val="clear" w:color="auto" w:fill="DBE5F1"/>
          </w:tcPr>
          <w:p w14:paraId="12F5DE2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7D5841F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3DE7FC6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07CB8498" w14:textId="6D732845"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2.2.1 External </w:t>
            </w:r>
            <w:r w:rsidR="0055586F">
              <w:rPr>
                <w:rFonts w:ascii="Calibri" w:hAnsi="Calibri"/>
                <w:iCs/>
                <w:szCs w:val="20"/>
              </w:rPr>
              <w:t>S</w:t>
            </w:r>
            <w:r w:rsidRPr="0038583D">
              <w:rPr>
                <w:rFonts w:ascii="Calibri" w:hAnsi="Calibri"/>
                <w:iCs/>
                <w:szCs w:val="20"/>
              </w:rPr>
              <w:t xml:space="preserve">peaker </w:t>
            </w:r>
            <w:r w:rsidR="0055586F">
              <w:rPr>
                <w:rFonts w:ascii="Calibri" w:hAnsi="Calibri"/>
                <w:iCs/>
                <w:szCs w:val="20"/>
              </w:rPr>
              <w:t>P</w:t>
            </w:r>
            <w:r w:rsidRPr="0038583D">
              <w:rPr>
                <w:rFonts w:ascii="Calibri" w:hAnsi="Calibri"/>
                <w:iCs/>
                <w:szCs w:val="20"/>
              </w:rPr>
              <w:t>rocedure and Freedom of Speech Code of Practice have been fully reviewed. There is a new online procedure</w:t>
            </w:r>
            <w:r w:rsidR="0055586F">
              <w:rPr>
                <w:rFonts w:ascii="Calibri" w:hAnsi="Calibri"/>
                <w:iCs/>
                <w:szCs w:val="20"/>
              </w:rPr>
              <w:t>, which includes a new External Speaker Request E-From</w:t>
            </w:r>
            <w:r w:rsidR="00C459CA">
              <w:rPr>
                <w:rFonts w:ascii="Calibri" w:hAnsi="Calibri"/>
                <w:iCs/>
                <w:szCs w:val="20"/>
              </w:rPr>
              <w:t xml:space="preserve">, </w:t>
            </w:r>
            <w:r w:rsidRPr="0038583D">
              <w:rPr>
                <w:rFonts w:ascii="Calibri" w:hAnsi="Calibri"/>
                <w:iCs/>
                <w:szCs w:val="20"/>
              </w:rPr>
              <w:t xml:space="preserve">within the General Counsel, Governance and Compliance webpage which is managed by the Senior Manager, Governance and Compliance.  </w:t>
            </w:r>
          </w:p>
          <w:p w14:paraId="25AA680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2.2.2 To consider the </w:t>
            </w:r>
            <w:r w:rsidRPr="0038583D">
              <w:rPr>
                <w:rFonts w:ascii="Calibri" w:hAnsi="Calibri"/>
                <w:szCs w:val="20"/>
              </w:rPr>
              <w:t xml:space="preserve">Higher Education (Freedom of Speech) Bill and any implications for the University when reviewing the policies outlined in 2.2.1 above. </w:t>
            </w:r>
          </w:p>
        </w:tc>
        <w:tc>
          <w:tcPr>
            <w:tcW w:w="1276" w:type="dxa"/>
            <w:shd w:val="clear" w:color="auto" w:fill="DBE5F1"/>
          </w:tcPr>
          <w:p w14:paraId="15659FD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Completed </w:t>
            </w:r>
          </w:p>
          <w:p w14:paraId="76B2105C" w14:textId="77777777" w:rsidR="006C03A0" w:rsidRPr="0038583D" w:rsidRDefault="006C03A0" w:rsidP="00213B4C">
            <w:pPr>
              <w:spacing w:before="100" w:beforeAutospacing="1" w:after="120"/>
              <w:rPr>
                <w:rFonts w:ascii="Calibri" w:hAnsi="Calibri"/>
                <w:iCs/>
                <w:szCs w:val="20"/>
              </w:rPr>
            </w:pPr>
          </w:p>
          <w:p w14:paraId="282A9308" w14:textId="77777777" w:rsidR="006C03A0" w:rsidRPr="0038583D" w:rsidRDefault="006C03A0" w:rsidP="00213B4C">
            <w:pPr>
              <w:spacing w:before="100" w:beforeAutospacing="1" w:after="120"/>
              <w:rPr>
                <w:rFonts w:ascii="Calibri" w:hAnsi="Calibri"/>
                <w:iCs/>
                <w:szCs w:val="20"/>
              </w:rPr>
            </w:pPr>
          </w:p>
          <w:p w14:paraId="04576C42"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Completed</w:t>
            </w:r>
          </w:p>
          <w:p w14:paraId="28E0C4FE" w14:textId="77777777" w:rsidR="006C03A0" w:rsidRPr="0038583D" w:rsidRDefault="006C03A0" w:rsidP="00213B4C">
            <w:pPr>
              <w:spacing w:before="100" w:beforeAutospacing="1" w:after="120"/>
              <w:rPr>
                <w:rFonts w:ascii="Calibri" w:hAnsi="Calibri"/>
                <w:iCs/>
                <w:szCs w:val="20"/>
              </w:rPr>
            </w:pPr>
          </w:p>
        </w:tc>
        <w:tc>
          <w:tcPr>
            <w:tcW w:w="2268" w:type="dxa"/>
            <w:shd w:val="clear" w:color="auto" w:fill="DBE5F1"/>
          </w:tcPr>
          <w:p w14:paraId="51F213C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Prevent Co-ordinator (LS) </w:t>
            </w:r>
          </w:p>
          <w:p w14:paraId="4EED620E" w14:textId="77777777" w:rsidR="006C03A0" w:rsidRPr="0038583D" w:rsidRDefault="006C03A0" w:rsidP="00213B4C">
            <w:pPr>
              <w:spacing w:before="100" w:beforeAutospacing="1" w:after="120"/>
              <w:rPr>
                <w:rFonts w:ascii="Calibri" w:hAnsi="Calibri"/>
                <w:b/>
                <w:iCs/>
                <w:szCs w:val="20"/>
              </w:rPr>
            </w:pPr>
          </w:p>
          <w:p w14:paraId="03D785BC" w14:textId="77777777" w:rsidR="006C03A0" w:rsidRPr="0038583D" w:rsidRDefault="006C03A0" w:rsidP="00213B4C">
            <w:pPr>
              <w:spacing w:before="100" w:beforeAutospacing="1" w:after="120"/>
              <w:rPr>
                <w:rFonts w:ascii="Calibri" w:hAnsi="Calibri"/>
                <w:iCs/>
                <w:szCs w:val="20"/>
              </w:rPr>
            </w:pPr>
          </w:p>
          <w:p w14:paraId="7E323E2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Prevent Co-ordinator (LS) </w:t>
            </w:r>
          </w:p>
          <w:p w14:paraId="68887673" w14:textId="77777777" w:rsidR="006C03A0" w:rsidRPr="0038583D" w:rsidRDefault="006C03A0" w:rsidP="00213B4C">
            <w:pPr>
              <w:spacing w:before="100" w:beforeAutospacing="1" w:after="120"/>
              <w:rPr>
                <w:rFonts w:ascii="Calibri" w:hAnsi="Calibri"/>
                <w:b/>
                <w:iCs/>
                <w:szCs w:val="20"/>
              </w:rPr>
            </w:pPr>
          </w:p>
        </w:tc>
        <w:tc>
          <w:tcPr>
            <w:tcW w:w="851" w:type="dxa"/>
            <w:shd w:val="clear" w:color="auto" w:fill="DBE5F1"/>
          </w:tcPr>
          <w:p w14:paraId="563510D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4CD3D3A2"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756ACB4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6C03A0" w:rsidRPr="0038583D" w14:paraId="0E7D3389" w14:textId="77777777" w:rsidTr="00143761">
        <w:tc>
          <w:tcPr>
            <w:tcW w:w="22539" w:type="dxa"/>
            <w:gridSpan w:val="12"/>
            <w:shd w:val="clear" w:color="auto" w:fill="1F497D"/>
          </w:tcPr>
          <w:p w14:paraId="7B5BDEBF" w14:textId="77777777" w:rsidR="006C03A0" w:rsidRPr="0038583D" w:rsidRDefault="006C03A0" w:rsidP="00213B4C">
            <w:pPr>
              <w:spacing w:before="100" w:beforeAutospacing="1" w:after="120"/>
              <w:rPr>
                <w:rFonts w:ascii="Calibri" w:hAnsi="Calibri"/>
                <w:b/>
                <w:iCs/>
                <w:szCs w:val="20"/>
              </w:rPr>
            </w:pPr>
            <w:r w:rsidRPr="0038583D">
              <w:rPr>
                <w:rFonts w:ascii="Calibri" w:hAnsi="Calibri"/>
                <w:b/>
                <w:color w:val="FFFFFF"/>
                <w:szCs w:val="20"/>
              </w:rPr>
              <w:t>National Prevent Objective 3: Work with sectors and institutions where there are risks of radicalisation that we need to address</w:t>
            </w:r>
          </w:p>
        </w:tc>
      </w:tr>
      <w:tr w:rsidR="006C03A0" w:rsidRPr="0038583D" w14:paraId="40F5BB86" w14:textId="77777777" w:rsidTr="00143761">
        <w:tc>
          <w:tcPr>
            <w:tcW w:w="22539" w:type="dxa"/>
            <w:gridSpan w:val="12"/>
            <w:shd w:val="clear" w:color="auto" w:fill="4F81BD"/>
          </w:tcPr>
          <w:p w14:paraId="742EC2D8"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color w:val="FFFFFF"/>
                <w:szCs w:val="20"/>
              </w:rPr>
              <w:t>University of Sussex Outcome:  Ensure partnerships within and outside of HE to share information and strategies in furtherance of Prevent Objectives</w:t>
            </w:r>
          </w:p>
        </w:tc>
      </w:tr>
      <w:tr w:rsidR="00264642" w:rsidRPr="0038583D" w14:paraId="292A5A02" w14:textId="77777777" w:rsidTr="00143761">
        <w:tc>
          <w:tcPr>
            <w:tcW w:w="538" w:type="dxa"/>
            <w:shd w:val="clear" w:color="auto" w:fill="95B3D7"/>
          </w:tcPr>
          <w:p w14:paraId="2E27E29E"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No.</w:t>
            </w:r>
          </w:p>
        </w:tc>
        <w:tc>
          <w:tcPr>
            <w:tcW w:w="3231" w:type="dxa"/>
            <w:shd w:val="clear" w:color="auto" w:fill="95B3D7"/>
          </w:tcPr>
          <w:p w14:paraId="4B2D8032"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Risk</w:t>
            </w:r>
          </w:p>
        </w:tc>
        <w:tc>
          <w:tcPr>
            <w:tcW w:w="3744" w:type="dxa"/>
            <w:shd w:val="clear" w:color="auto" w:fill="95B3D7"/>
          </w:tcPr>
          <w:p w14:paraId="2B9BCBDE"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Mitigating Action (existing)</w:t>
            </w:r>
          </w:p>
        </w:tc>
        <w:tc>
          <w:tcPr>
            <w:tcW w:w="286" w:type="dxa"/>
            <w:shd w:val="clear" w:color="auto" w:fill="95B3D7"/>
          </w:tcPr>
          <w:p w14:paraId="12E8C4FD"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Impact</w:t>
            </w:r>
          </w:p>
        </w:tc>
        <w:tc>
          <w:tcPr>
            <w:tcW w:w="1075" w:type="dxa"/>
            <w:shd w:val="clear" w:color="auto" w:fill="95B3D7"/>
          </w:tcPr>
          <w:p w14:paraId="06D9E060"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Likelihood</w:t>
            </w:r>
          </w:p>
        </w:tc>
        <w:tc>
          <w:tcPr>
            <w:tcW w:w="748" w:type="dxa"/>
            <w:shd w:val="clear" w:color="auto" w:fill="95B3D7"/>
          </w:tcPr>
          <w:p w14:paraId="6F817AC5"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Risk Rating</w:t>
            </w:r>
          </w:p>
        </w:tc>
        <w:tc>
          <w:tcPr>
            <w:tcW w:w="6254" w:type="dxa"/>
            <w:shd w:val="clear" w:color="auto" w:fill="95B3D7"/>
          </w:tcPr>
          <w:p w14:paraId="554FC4BC"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Planned Mitigating Actions</w:t>
            </w:r>
          </w:p>
        </w:tc>
        <w:tc>
          <w:tcPr>
            <w:tcW w:w="1276" w:type="dxa"/>
            <w:shd w:val="clear" w:color="auto" w:fill="95B3D7"/>
          </w:tcPr>
          <w:p w14:paraId="703B5329"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Timing</w:t>
            </w:r>
          </w:p>
        </w:tc>
        <w:tc>
          <w:tcPr>
            <w:tcW w:w="2268" w:type="dxa"/>
            <w:shd w:val="clear" w:color="auto" w:fill="95B3D7"/>
          </w:tcPr>
          <w:p w14:paraId="2EF23731"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Owner</w:t>
            </w:r>
          </w:p>
        </w:tc>
        <w:tc>
          <w:tcPr>
            <w:tcW w:w="3119" w:type="dxa"/>
            <w:gridSpan w:val="3"/>
            <w:shd w:val="clear" w:color="auto" w:fill="95B3D7"/>
          </w:tcPr>
          <w:p w14:paraId="1D3C30D7"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Residual Risk Rating</w:t>
            </w:r>
          </w:p>
        </w:tc>
      </w:tr>
      <w:tr w:rsidR="00222876" w:rsidRPr="0038583D" w14:paraId="133AC8F2" w14:textId="77777777" w:rsidTr="00143761">
        <w:tc>
          <w:tcPr>
            <w:tcW w:w="538" w:type="dxa"/>
            <w:shd w:val="clear" w:color="auto" w:fill="DBE5F1"/>
          </w:tcPr>
          <w:p w14:paraId="58CBD78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3.1</w:t>
            </w:r>
          </w:p>
        </w:tc>
        <w:tc>
          <w:tcPr>
            <w:tcW w:w="3231" w:type="dxa"/>
            <w:shd w:val="clear" w:color="auto" w:fill="DBE5F1"/>
          </w:tcPr>
          <w:p w14:paraId="1F17C62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Failure to engage with partners on local context leads to individuals being radicalised.</w:t>
            </w:r>
          </w:p>
        </w:tc>
        <w:tc>
          <w:tcPr>
            <w:tcW w:w="3744" w:type="dxa"/>
            <w:shd w:val="clear" w:color="auto" w:fill="DBE5F1"/>
          </w:tcPr>
          <w:p w14:paraId="6E19D940" w14:textId="77777777" w:rsidR="006C03A0" w:rsidRPr="0038583D" w:rsidRDefault="006C03A0" w:rsidP="00213B4C">
            <w:pPr>
              <w:spacing w:before="100" w:beforeAutospacing="1" w:after="120"/>
              <w:rPr>
                <w:rFonts w:ascii="Calibri" w:hAnsi="Calibri"/>
                <w:b/>
                <w:iCs/>
                <w:szCs w:val="20"/>
              </w:rPr>
            </w:pPr>
            <w:r w:rsidRPr="0038583D">
              <w:rPr>
                <w:rFonts w:ascii="Calibri" w:hAnsi="Calibri"/>
                <w:szCs w:val="20"/>
              </w:rPr>
              <w:t>Ongoing meetings and workshops with key Prevent partners (BHCC, DfE) to share information and reduce risk of radicalisation.</w:t>
            </w:r>
          </w:p>
        </w:tc>
        <w:tc>
          <w:tcPr>
            <w:tcW w:w="286" w:type="dxa"/>
            <w:shd w:val="clear" w:color="auto" w:fill="DBE5F1"/>
          </w:tcPr>
          <w:p w14:paraId="70B05B9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38B6AD1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531A065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28732FE6" w14:textId="77777777" w:rsidR="006C03A0" w:rsidRPr="0038583D" w:rsidRDefault="006C03A0" w:rsidP="00213B4C">
            <w:pPr>
              <w:spacing w:before="100" w:beforeAutospacing="1" w:after="120"/>
              <w:rPr>
                <w:rFonts w:ascii="Calibri" w:hAnsi="Calibri"/>
                <w:szCs w:val="20"/>
              </w:rPr>
            </w:pPr>
            <w:r w:rsidRPr="0038583D">
              <w:rPr>
                <w:rFonts w:ascii="Calibri" w:hAnsi="Calibri"/>
                <w:iCs/>
                <w:szCs w:val="20"/>
              </w:rPr>
              <w:t>3.1.1 Continue</w:t>
            </w:r>
            <w:r w:rsidRPr="0038583D">
              <w:rPr>
                <w:rFonts w:ascii="Calibri" w:hAnsi="Calibri"/>
                <w:szCs w:val="20"/>
              </w:rPr>
              <w:t xml:space="preserve"> to maintain regular engagements with internal stakeholders to share information and strategies in furtherance of Prevent Objectives.</w:t>
            </w:r>
          </w:p>
          <w:p w14:paraId="660145A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3.1.2 Face to face training as required with DfE Prevent Co-ordinator and/or Police Prevent Co-ordinator</w:t>
            </w:r>
          </w:p>
        </w:tc>
        <w:tc>
          <w:tcPr>
            <w:tcW w:w="1276" w:type="dxa"/>
            <w:shd w:val="clear" w:color="auto" w:fill="DBE5F1"/>
          </w:tcPr>
          <w:p w14:paraId="59DABD63"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37A05A01" w14:textId="77777777" w:rsidR="006C03A0" w:rsidRPr="0038583D" w:rsidRDefault="006C03A0" w:rsidP="00213B4C">
            <w:pPr>
              <w:spacing w:before="100" w:beforeAutospacing="1" w:after="120"/>
              <w:rPr>
                <w:rFonts w:ascii="Calibri" w:hAnsi="Calibri"/>
                <w:iCs/>
                <w:szCs w:val="20"/>
              </w:rPr>
            </w:pPr>
          </w:p>
          <w:p w14:paraId="1DA9A67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1062FAD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Steering Group</w:t>
            </w:r>
          </w:p>
          <w:p w14:paraId="403EEADE" w14:textId="77777777" w:rsidR="006C03A0" w:rsidRPr="0038583D" w:rsidRDefault="006C03A0" w:rsidP="00213B4C">
            <w:pPr>
              <w:spacing w:before="100" w:beforeAutospacing="1" w:after="120"/>
              <w:rPr>
                <w:rFonts w:ascii="Calibri" w:hAnsi="Calibri"/>
                <w:iCs/>
                <w:szCs w:val="20"/>
              </w:rPr>
            </w:pPr>
          </w:p>
          <w:p w14:paraId="48C526C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Co-ordinator (LS)</w:t>
            </w:r>
          </w:p>
          <w:p w14:paraId="4E6DA238" w14:textId="77777777" w:rsidR="006C03A0" w:rsidRPr="0038583D" w:rsidRDefault="006C03A0" w:rsidP="00213B4C">
            <w:pPr>
              <w:spacing w:before="100" w:beforeAutospacing="1" w:after="120"/>
              <w:rPr>
                <w:rFonts w:ascii="Calibri" w:hAnsi="Calibri"/>
                <w:iCs/>
                <w:szCs w:val="20"/>
              </w:rPr>
            </w:pPr>
          </w:p>
        </w:tc>
        <w:tc>
          <w:tcPr>
            <w:tcW w:w="851" w:type="dxa"/>
            <w:shd w:val="clear" w:color="auto" w:fill="DBE5F1"/>
          </w:tcPr>
          <w:p w14:paraId="5EF516D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7B79D712"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0C3CCAB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6C03A0" w:rsidRPr="0038583D" w14:paraId="7A0D9216" w14:textId="77777777" w:rsidTr="00143761">
        <w:tc>
          <w:tcPr>
            <w:tcW w:w="22539" w:type="dxa"/>
            <w:gridSpan w:val="12"/>
            <w:shd w:val="clear" w:color="auto" w:fill="1F497D"/>
          </w:tcPr>
          <w:p w14:paraId="513BB14C"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lastRenderedPageBreak/>
              <w:t>Statutory Prevent Duty</w:t>
            </w:r>
          </w:p>
        </w:tc>
      </w:tr>
      <w:tr w:rsidR="006C03A0" w:rsidRPr="0038583D" w14:paraId="24885904" w14:textId="77777777" w:rsidTr="00143761">
        <w:tc>
          <w:tcPr>
            <w:tcW w:w="22539" w:type="dxa"/>
            <w:gridSpan w:val="12"/>
            <w:shd w:val="clear" w:color="auto" w:fill="4F81BD"/>
          </w:tcPr>
          <w:p w14:paraId="75AA6241"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color w:val="FFFFFF"/>
                <w:szCs w:val="20"/>
              </w:rPr>
              <w:t>University of Sussex Outcome:  Meet and review OfS and wider Statutory Prevent Compliance obligations</w:t>
            </w:r>
          </w:p>
        </w:tc>
      </w:tr>
      <w:tr w:rsidR="00264642" w:rsidRPr="0038583D" w14:paraId="2A9565CB" w14:textId="77777777" w:rsidTr="00143761">
        <w:tc>
          <w:tcPr>
            <w:tcW w:w="538" w:type="dxa"/>
            <w:shd w:val="clear" w:color="auto" w:fill="95B3D7"/>
          </w:tcPr>
          <w:p w14:paraId="1DCBBC9B"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No.</w:t>
            </w:r>
          </w:p>
        </w:tc>
        <w:tc>
          <w:tcPr>
            <w:tcW w:w="3231" w:type="dxa"/>
            <w:shd w:val="clear" w:color="auto" w:fill="95B3D7"/>
          </w:tcPr>
          <w:p w14:paraId="2C0F4B18"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Risk</w:t>
            </w:r>
          </w:p>
        </w:tc>
        <w:tc>
          <w:tcPr>
            <w:tcW w:w="3744" w:type="dxa"/>
            <w:shd w:val="clear" w:color="auto" w:fill="95B3D7"/>
          </w:tcPr>
          <w:p w14:paraId="61C0A7D1"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Mitigating Action (existing)</w:t>
            </w:r>
          </w:p>
        </w:tc>
        <w:tc>
          <w:tcPr>
            <w:tcW w:w="286" w:type="dxa"/>
            <w:shd w:val="clear" w:color="auto" w:fill="95B3D7"/>
          </w:tcPr>
          <w:p w14:paraId="36F2DD6F"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Impact</w:t>
            </w:r>
          </w:p>
        </w:tc>
        <w:tc>
          <w:tcPr>
            <w:tcW w:w="1075" w:type="dxa"/>
            <w:shd w:val="clear" w:color="auto" w:fill="95B3D7"/>
          </w:tcPr>
          <w:p w14:paraId="1E25C35E"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Likelihood</w:t>
            </w:r>
          </w:p>
        </w:tc>
        <w:tc>
          <w:tcPr>
            <w:tcW w:w="748" w:type="dxa"/>
            <w:shd w:val="clear" w:color="auto" w:fill="95B3D7"/>
          </w:tcPr>
          <w:p w14:paraId="29C4B109"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Risk Rating</w:t>
            </w:r>
          </w:p>
        </w:tc>
        <w:tc>
          <w:tcPr>
            <w:tcW w:w="6254" w:type="dxa"/>
            <w:shd w:val="clear" w:color="auto" w:fill="95B3D7"/>
          </w:tcPr>
          <w:p w14:paraId="79C86F79"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Planned Mitigating Actions</w:t>
            </w:r>
          </w:p>
        </w:tc>
        <w:tc>
          <w:tcPr>
            <w:tcW w:w="1276" w:type="dxa"/>
            <w:shd w:val="clear" w:color="auto" w:fill="95B3D7"/>
          </w:tcPr>
          <w:p w14:paraId="1969608F"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Timing</w:t>
            </w:r>
          </w:p>
        </w:tc>
        <w:tc>
          <w:tcPr>
            <w:tcW w:w="2268" w:type="dxa"/>
            <w:shd w:val="clear" w:color="auto" w:fill="95B3D7"/>
          </w:tcPr>
          <w:p w14:paraId="7AA9FB21"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Owner</w:t>
            </w:r>
          </w:p>
        </w:tc>
        <w:tc>
          <w:tcPr>
            <w:tcW w:w="3119" w:type="dxa"/>
            <w:gridSpan w:val="3"/>
            <w:shd w:val="clear" w:color="auto" w:fill="95B3D7"/>
          </w:tcPr>
          <w:p w14:paraId="66140F22" w14:textId="77777777" w:rsidR="006C03A0" w:rsidRPr="0038583D" w:rsidRDefault="006C03A0" w:rsidP="00213B4C">
            <w:pPr>
              <w:spacing w:before="100" w:beforeAutospacing="1" w:after="120"/>
              <w:rPr>
                <w:rFonts w:ascii="Calibri" w:hAnsi="Calibri"/>
                <w:b/>
                <w:iCs/>
                <w:color w:val="FFFFFF"/>
                <w:szCs w:val="20"/>
              </w:rPr>
            </w:pPr>
            <w:r w:rsidRPr="0038583D">
              <w:rPr>
                <w:rFonts w:ascii="Calibri" w:hAnsi="Calibri"/>
                <w:b/>
                <w:iCs/>
                <w:color w:val="FFFFFF"/>
                <w:szCs w:val="20"/>
              </w:rPr>
              <w:t>Residual Risk Rating</w:t>
            </w:r>
          </w:p>
        </w:tc>
      </w:tr>
      <w:tr w:rsidR="00222876" w:rsidRPr="0038583D" w14:paraId="5AC19573" w14:textId="77777777" w:rsidTr="00143761">
        <w:tc>
          <w:tcPr>
            <w:tcW w:w="538" w:type="dxa"/>
            <w:shd w:val="clear" w:color="auto" w:fill="DBE5F1"/>
          </w:tcPr>
          <w:p w14:paraId="406ED97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4.1</w:t>
            </w:r>
          </w:p>
        </w:tc>
        <w:tc>
          <w:tcPr>
            <w:tcW w:w="3231" w:type="dxa"/>
            <w:shd w:val="clear" w:color="auto" w:fill="DBE5F1"/>
          </w:tcPr>
          <w:p w14:paraId="77987C78" w14:textId="77777777" w:rsidR="006C03A0" w:rsidRPr="0038583D" w:rsidRDefault="006C03A0" w:rsidP="00213B4C">
            <w:pPr>
              <w:spacing w:before="100" w:beforeAutospacing="1"/>
              <w:rPr>
                <w:rFonts w:ascii="Calibri" w:hAnsi="Calibri"/>
                <w:iCs/>
                <w:szCs w:val="20"/>
              </w:rPr>
            </w:pPr>
            <w:r w:rsidRPr="0038583D">
              <w:rPr>
                <w:rFonts w:ascii="Calibri" w:hAnsi="Calibri"/>
                <w:iCs/>
                <w:szCs w:val="20"/>
              </w:rPr>
              <w:t>Failure to undertake timely reporting to the University Executive, Chairs’ Committee and Council leading to unfulfilled Prevent accountabilities.</w:t>
            </w:r>
          </w:p>
        </w:tc>
        <w:tc>
          <w:tcPr>
            <w:tcW w:w="3744" w:type="dxa"/>
            <w:shd w:val="clear" w:color="auto" w:fill="DBE5F1"/>
          </w:tcPr>
          <w:p w14:paraId="2FEBFF2E"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Monthly Prevent Reports to the University Executive Group; termly Prevent Reports to Council to ensure appropriate governance and management oversight of Prevent obligations</w:t>
            </w:r>
          </w:p>
        </w:tc>
        <w:tc>
          <w:tcPr>
            <w:tcW w:w="286" w:type="dxa"/>
            <w:shd w:val="clear" w:color="auto" w:fill="DBE5F1"/>
          </w:tcPr>
          <w:p w14:paraId="0BA95DA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7B7AB69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2DBCBB4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3C6900E3"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4.1.1 Ongoing review and refinement of training and reporting for UEG, Chairs’ Committee and Council.</w:t>
            </w:r>
          </w:p>
          <w:p w14:paraId="2353CE7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4.1.2 Robust governance arrangements in place to ensure compliance. </w:t>
            </w:r>
          </w:p>
        </w:tc>
        <w:tc>
          <w:tcPr>
            <w:tcW w:w="1276" w:type="dxa"/>
            <w:shd w:val="clear" w:color="auto" w:fill="DBE5F1"/>
          </w:tcPr>
          <w:p w14:paraId="6125A34B"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p w14:paraId="7BF6672F" w14:textId="77777777" w:rsidR="006C03A0" w:rsidRPr="0038583D" w:rsidRDefault="006C03A0" w:rsidP="00213B4C">
            <w:pPr>
              <w:spacing w:before="100" w:beforeAutospacing="1" w:after="120"/>
              <w:rPr>
                <w:rFonts w:ascii="Calibri" w:hAnsi="Calibri"/>
                <w:iCs/>
                <w:szCs w:val="20"/>
              </w:rPr>
            </w:pPr>
          </w:p>
          <w:p w14:paraId="36E1685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006CAB99" w14:textId="75DCDA2C"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Lead (</w:t>
            </w:r>
            <w:r w:rsidR="00EF36DB">
              <w:rPr>
                <w:rFonts w:ascii="Calibri" w:hAnsi="Calibri"/>
                <w:iCs/>
                <w:szCs w:val="20"/>
              </w:rPr>
              <w:t>N</w:t>
            </w:r>
            <w:r w:rsidRPr="0038583D">
              <w:rPr>
                <w:rFonts w:ascii="Calibri" w:hAnsi="Calibri"/>
                <w:iCs/>
                <w:szCs w:val="20"/>
              </w:rPr>
              <w:t>E)</w:t>
            </w:r>
          </w:p>
          <w:p w14:paraId="63FFC5D3" w14:textId="77777777" w:rsidR="006C03A0" w:rsidRPr="0038583D" w:rsidRDefault="006C03A0" w:rsidP="00213B4C">
            <w:pPr>
              <w:spacing w:before="100" w:beforeAutospacing="1" w:after="120"/>
              <w:rPr>
                <w:rFonts w:ascii="Calibri" w:hAnsi="Calibri"/>
                <w:iCs/>
                <w:szCs w:val="20"/>
              </w:rPr>
            </w:pPr>
          </w:p>
          <w:p w14:paraId="6655272A"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Co-ordinator (LS)</w:t>
            </w:r>
          </w:p>
        </w:tc>
        <w:tc>
          <w:tcPr>
            <w:tcW w:w="851" w:type="dxa"/>
            <w:shd w:val="clear" w:color="auto" w:fill="DBE5F1"/>
          </w:tcPr>
          <w:p w14:paraId="6BCC50B2"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18409FB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023C34C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222876" w:rsidRPr="0038583D" w14:paraId="432DD96C" w14:textId="77777777" w:rsidTr="00143761">
        <w:tc>
          <w:tcPr>
            <w:tcW w:w="538" w:type="dxa"/>
            <w:shd w:val="clear" w:color="auto" w:fill="DBE5F1"/>
          </w:tcPr>
          <w:p w14:paraId="4F8F50D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4.2</w:t>
            </w:r>
          </w:p>
        </w:tc>
        <w:tc>
          <w:tcPr>
            <w:tcW w:w="3231" w:type="dxa"/>
            <w:shd w:val="clear" w:color="auto" w:fill="DBE5F1"/>
          </w:tcPr>
          <w:p w14:paraId="481D46CF"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Failure to discharge Prevent reporting requirements to the OfS and other related authorities.</w:t>
            </w:r>
          </w:p>
        </w:tc>
        <w:tc>
          <w:tcPr>
            <w:tcW w:w="3744" w:type="dxa"/>
            <w:shd w:val="clear" w:color="auto" w:fill="DBE5F1"/>
          </w:tcPr>
          <w:p w14:paraId="263252F6"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Training and information provided to executive officers and close monitoring of OfS and other Prevent Duty reporting and compliance obligations</w:t>
            </w:r>
          </w:p>
        </w:tc>
        <w:tc>
          <w:tcPr>
            <w:tcW w:w="286" w:type="dxa"/>
            <w:shd w:val="clear" w:color="auto" w:fill="DBE5F1"/>
          </w:tcPr>
          <w:p w14:paraId="73A5601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2A64191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5D234CD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2E46B00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4.2.1 Ongoing review and attention to reporting deadlines and obligations.</w:t>
            </w:r>
          </w:p>
        </w:tc>
        <w:tc>
          <w:tcPr>
            <w:tcW w:w="1276" w:type="dxa"/>
            <w:shd w:val="clear" w:color="auto" w:fill="DBE5F1"/>
          </w:tcPr>
          <w:p w14:paraId="68DB44D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3EEDFA6D" w14:textId="4E191979"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Lead (</w:t>
            </w:r>
            <w:r w:rsidR="0089551C">
              <w:rPr>
                <w:rFonts w:ascii="Calibri" w:hAnsi="Calibri"/>
                <w:iCs/>
                <w:szCs w:val="20"/>
              </w:rPr>
              <w:t>N</w:t>
            </w:r>
            <w:r w:rsidRPr="0038583D">
              <w:rPr>
                <w:rFonts w:ascii="Calibri" w:hAnsi="Calibri"/>
                <w:iCs/>
                <w:szCs w:val="20"/>
              </w:rPr>
              <w:t>E)</w:t>
            </w:r>
          </w:p>
        </w:tc>
        <w:tc>
          <w:tcPr>
            <w:tcW w:w="851" w:type="dxa"/>
            <w:shd w:val="clear" w:color="auto" w:fill="DBE5F1"/>
          </w:tcPr>
          <w:p w14:paraId="4AACF22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67D291B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142DFC1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r w:rsidR="00222876" w:rsidRPr="0038583D" w14:paraId="138535B0" w14:textId="77777777" w:rsidTr="00143761">
        <w:tc>
          <w:tcPr>
            <w:tcW w:w="538" w:type="dxa"/>
            <w:shd w:val="clear" w:color="auto" w:fill="DBE5F1"/>
          </w:tcPr>
          <w:p w14:paraId="50FAEBD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4.3</w:t>
            </w:r>
          </w:p>
        </w:tc>
        <w:tc>
          <w:tcPr>
            <w:tcW w:w="3231" w:type="dxa"/>
            <w:shd w:val="clear" w:color="auto" w:fill="DBE5F1"/>
          </w:tcPr>
          <w:p w14:paraId="453738C7"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Failure to coordinate Prevent related information and improve understanding of student populations in the City leads to terrorist related activities.</w:t>
            </w:r>
            <w:r w:rsidRPr="0038583D">
              <w:rPr>
                <w:rFonts w:ascii="Calibri" w:hAnsi="Calibri"/>
                <w:iCs/>
                <w:szCs w:val="20"/>
                <w:vertAlign w:val="superscript"/>
              </w:rPr>
              <w:footnoteReference w:id="4"/>
            </w:r>
            <w:r w:rsidRPr="0038583D">
              <w:rPr>
                <w:rFonts w:ascii="Calibri" w:hAnsi="Calibri"/>
                <w:iCs/>
                <w:szCs w:val="20"/>
              </w:rPr>
              <w:t xml:space="preserve"> </w:t>
            </w:r>
          </w:p>
        </w:tc>
        <w:tc>
          <w:tcPr>
            <w:tcW w:w="3744" w:type="dxa"/>
            <w:shd w:val="clear" w:color="auto" w:fill="DBE5F1"/>
          </w:tcPr>
          <w:p w14:paraId="728A0CAC" w14:textId="77777777" w:rsidR="006C03A0" w:rsidRPr="0038583D" w:rsidRDefault="006C03A0" w:rsidP="00213B4C">
            <w:pPr>
              <w:spacing w:before="100" w:beforeAutospacing="1" w:after="120"/>
              <w:rPr>
                <w:rFonts w:ascii="Calibri" w:hAnsi="Calibri"/>
                <w:iCs/>
                <w:szCs w:val="20"/>
              </w:rPr>
            </w:pPr>
            <w:r w:rsidRPr="0038583D">
              <w:rPr>
                <w:rFonts w:ascii="Calibri" w:hAnsi="Calibri"/>
                <w:szCs w:val="20"/>
              </w:rPr>
              <w:t>Engagement with BHCC to improve understanding of student populations and ensure appropriate support and communication.</w:t>
            </w:r>
          </w:p>
        </w:tc>
        <w:tc>
          <w:tcPr>
            <w:tcW w:w="286" w:type="dxa"/>
            <w:shd w:val="clear" w:color="auto" w:fill="DBE5F1"/>
          </w:tcPr>
          <w:p w14:paraId="35150F48"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075" w:type="dxa"/>
            <w:shd w:val="clear" w:color="auto" w:fill="DBE5F1"/>
          </w:tcPr>
          <w:p w14:paraId="03F80D1C"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748" w:type="dxa"/>
            <w:shd w:val="clear" w:color="auto" w:fill="9BBB59"/>
          </w:tcPr>
          <w:p w14:paraId="5E1B976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6254" w:type="dxa"/>
            <w:shd w:val="clear" w:color="auto" w:fill="DBE5F1"/>
          </w:tcPr>
          <w:p w14:paraId="638B4485"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 xml:space="preserve">4.3.1 Ongoing engagement with BHCC and DfE Prevent Coordinator to share intelligence and Prevent strategies. </w:t>
            </w:r>
          </w:p>
        </w:tc>
        <w:tc>
          <w:tcPr>
            <w:tcW w:w="1276" w:type="dxa"/>
            <w:shd w:val="clear" w:color="auto" w:fill="DBE5F1"/>
          </w:tcPr>
          <w:p w14:paraId="70D08BD0"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0B90A12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Steering Group</w:t>
            </w:r>
          </w:p>
        </w:tc>
        <w:tc>
          <w:tcPr>
            <w:tcW w:w="851" w:type="dxa"/>
            <w:shd w:val="clear" w:color="auto" w:fill="DBE5F1"/>
          </w:tcPr>
          <w:p w14:paraId="4684038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518742A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c>
          <w:tcPr>
            <w:tcW w:w="1134" w:type="dxa"/>
            <w:shd w:val="clear" w:color="auto" w:fill="9BBB59"/>
          </w:tcPr>
          <w:p w14:paraId="4D14015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3</w:t>
            </w:r>
          </w:p>
        </w:tc>
      </w:tr>
      <w:tr w:rsidR="00222876" w:rsidRPr="0038583D" w14:paraId="379D48ED" w14:textId="77777777" w:rsidTr="00143761">
        <w:tc>
          <w:tcPr>
            <w:tcW w:w="538" w:type="dxa"/>
            <w:shd w:val="clear" w:color="auto" w:fill="DBE5F1"/>
          </w:tcPr>
          <w:p w14:paraId="78695FC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4.4</w:t>
            </w:r>
          </w:p>
        </w:tc>
        <w:tc>
          <w:tcPr>
            <w:tcW w:w="3231" w:type="dxa"/>
            <w:shd w:val="clear" w:color="auto" w:fill="DBE5F1"/>
          </w:tcPr>
          <w:p w14:paraId="7D8D2485" w14:textId="77777777" w:rsidR="006C03A0" w:rsidRPr="00264642" w:rsidRDefault="006C03A0" w:rsidP="00213B4C">
            <w:pPr>
              <w:spacing w:before="100" w:beforeAutospacing="1" w:after="120"/>
              <w:rPr>
                <w:rFonts w:ascii="Calibri" w:hAnsi="Calibri"/>
                <w:iCs/>
                <w:szCs w:val="20"/>
              </w:rPr>
            </w:pPr>
            <w:r w:rsidRPr="00264642">
              <w:rPr>
                <w:rFonts w:ascii="Calibri" w:hAnsi="Calibri"/>
                <w:iCs/>
                <w:szCs w:val="20"/>
              </w:rPr>
              <w:t>Failure to comply with OfS Prevent Duty Framework</w:t>
            </w:r>
            <w:r w:rsidRPr="00264642">
              <w:rPr>
                <w:rFonts w:ascii="Calibri" w:hAnsi="Calibri"/>
                <w:iCs/>
                <w:szCs w:val="20"/>
                <w:vertAlign w:val="superscript"/>
              </w:rPr>
              <w:footnoteReference w:id="5"/>
            </w:r>
            <w:r w:rsidRPr="00264642">
              <w:rPr>
                <w:rFonts w:ascii="Calibri" w:hAnsi="Calibri"/>
                <w:iCs/>
                <w:szCs w:val="20"/>
              </w:rPr>
              <w:t xml:space="preserve"> as a result of the decisions made by the USSU to not engage with Prevent and UCU’s communication to its members suggesting they should not engage with Prevent.</w:t>
            </w:r>
          </w:p>
        </w:tc>
        <w:tc>
          <w:tcPr>
            <w:tcW w:w="3744" w:type="dxa"/>
            <w:shd w:val="clear" w:color="auto" w:fill="DBE5F1"/>
          </w:tcPr>
          <w:p w14:paraId="33CEF074" w14:textId="5AB7B170" w:rsidR="00264642" w:rsidRPr="00264642" w:rsidRDefault="0021475C" w:rsidP="00264642">
            <w:pPr>
              <w:spacing w:before="100" w:beforeAutospacing="1" w:after="120"/>
              <w:rPr>
                <w:rFonts w:ascii="Calibri" w:hAnsi="Calibri"/>
                <w:szCs w:val="20"/>
              </w:rPr>
            </w:pPr>
            <w:r w:rsidRPr="0021475C">
              <w:rPr>
                <w:rFonts w:asciiTheme="minorHAnsi" w:hAnsiTheme="minorHAnsi" w:cstheme="minorHAnsi"/>
                <w:szCs w:val="20"/>
              </w:rPr>
              <w:t>On 21</w:t>
            </w:r>
            <w:r w:rsidR="0097627D" w:rsidRPr="0021475C">
              <w:rPr>
                <w:rFonts w:asciiTheme="minorHAnsi" w:hAnsiTheme="minorHAnsi" w:cstheme="minorHAnsi"/>
                <w:szCs w:val="20"/>
              </w:rPr>
              <w:t xml:space="preserve"> July </w:t>
            </w:r>
            <w:r w:rsidR="00FC0B03">
              <w:rPr>
                <w:rFonts w:asciiTheme="minorHAnsi" w:hAnsiTheme="minorHAnsi" w:cstheme="minorHAnsi"/>
                <w:szCs w:val="20"/>
              </w:rPr>
              <w:t xml:space="preserve">2022 </w:t>
            </w:r>
            <w:bookmarkStart w:id="2" w:name="_GoBack"/>
            <w:bookmarkEnd w:id="2"/>
            <w:r w:rsidR="002C45E4" w:rsidRPr="0021475C">
              <w:rPr>
                <w:rFonts w:asciiTheme="minorHAnsi" w:hAnsiTheme="minorHAnsi" w:cstheme="minorHAnsi"/>
                <w:szCs w:val="20"/>
              </w:rPr>
              <w:t xml:space="preserve">the new </w:t>
            </w:r>
            <w:r w:rsidR="006C03A0" w:rsidRPr="0021475C">
              <w:rPr>
                <w:rFonts w:asciiTheme="minorHAnsi" w:hAnsiTheme="minorHAnsi" w:cstheme="minorHAnsi"/>
                <w:szCs w:val="20"/>
              </w:rPr>
              <w:t>USSU</w:t>
            </w:r>
            <w:r w:rsidR="002C45E4" w:rsidRPr="0021475C">
              <w:rPr>
                <w:rFonts w:asciiTheme="minorHAnsi" w:hAnsiTheme="minorHAnsi" w:cstheme="minorHAnsi"/>
                <w:szCs w:val="20"/>
              </w:rPr>
              <w:t xml:space="preserve"> Sabbatical Officers received training from the Head of Governance Services in relation to HE regulation. </w:t>
            </w:r>
            <w:r w:rsidR="00222876" w:rsidRPr="0021475C">
              <w:rPr>
                <w:rFonts w:asciiTheme="minorHAnsi" w:hAnsiTheme="minorHAnsi" w:cstheme="minorHAnsi"/>
                <w:szCs w:val="20"/>
              </w:rPr>
              <w:t xml:space="preserve">This also included sharing information about the </w:t>
            </w:r>
            <w:hyperlink r:id="rId8" w:history="1">
              <w:r w:rsidR="00264642" w:rsidRPr="0021475C">
                <w:rPr>
                  <w:rStyle w:val="Hyperlink"/>
                  <w:rFonts w:asciiTheme="minorHAnsi" w:hAnsiTheme="minorHAnsi" w:cstheme="minorHAnsi"/>
                  <w:szCs w:val="20"/>
                </w:rPr>
                <w:t>University of Sussex Safeguarding Policy</w:t>
              </w:r>
            </w:hyperlink>
            <w:r w:rsidR="00264642" w:rsidRPr="0021475C">
              <w:rPr>
                <w:rFonts w:asciiTheme="minorHAnsi" w:hAnsiTheme="minorHAnsi" w:cstheme="minorHAnsi"/>
                <w:szCs w:val="20"/>
              </w:rPr>
              <w:t xml:space="preserve"> and the </w:t>
            </w:r>
            <w:hyperlink r:id="rId9" w:history="1">
              <w:r w:rsidR="00264642" w:rsidRPr="0021475C">
                <w:rPr>
                  <w:rStyle w:val="Hyperlink"/>
                  <w:rFonts w:asciiTheme="minorHAnsi" w:hAnsiTheme="minorHAnsi" w:cstheme="minorHAnsi"/>
                  <w:szCs w:val="20"/>
                </w:rPr>
                <w:t>External Speaker Procedure and Freedom of Speech Code of Practice</w:t>
              </w:r>
            </w:hyperlink>
            <w:r w:rsidR="00264642">
              <w:rPr>
                <w:rFonts w:asciiTheme="minorHAnsi" w:hAnsiTheme="minorHAnsi" w:cstheme="minorHAnsi"/>
                <w:szCs w:val="20"/>
              </w:rPr>
              <w:t>.</w:t>
            </w:r>
          </w:p>
          <w:p w14:paraId="61C84AC0" w14:textId="22CEBA95" w:rsidR="009258A7" w:rsidRPr="00264642" w:rsidRDefault="0097627D" w:rsidP="0097627D">
            <w:pPr>
              <w:spacing w:before="100" w:beforeAutospacing="1" w:after="120"/>
              <w:rPr>
                <w:rFonts w:ascii="Calibri" w:hAnsi="Calibri"/>
                <w:szCs w:val="20"/>
              </w:rPr>
            </w:pPr>
            <w:r w:rsidRPr="00264642">
              <w:rPr>
                <w:rFonts w:ascii="Calibri" w:hAnsi="Calibri"/>
                <w:szCs w:val="20"/>
              </w:rPr>
              <w:t>The Sabbatical Officers were invited to receive an input from DfE Prevent Co-ordinator on the Prevent Duty. They were also invited to receive an input from the Senior Manager, Governance and Compliance, on the University’s responsibilities under the Prevent</w:t>
            </w:r>
            <w:r w:rsidR="00222876" w:rsidRPr="00264642">
              <w:rPr>
                <w:rFonts w:ascii="Calibri" w:hAnsi="Calibri"/>
                <w:szCs w:val="20"/>
              </w:rPr>
              <w:t xml:space="preserve"> Duty.</w:t>
            </w:r>
          </w:p>
          <w:p w14:paraId="06357C30" w14:textId="339690CD" w:rsidR="009258A7" w:rsidRPr="00264642" w:rsidRDefault="009258A7" w:rsidP="0097627D">
            <w:pPr>
              <w:spacing w:before="100" w:beforeAutospacing="1" w:after="120"/>
              <w:rPr>
                <w:rFonts w:ascii="Calibri" w:hAnsi="Calibri"/>
                <w:szCs w:val="20"/>
              </w:rPr>
            </w:pPr>
            <w:r w:rsidRPr="00264642">
              <w:rPr>
                <w:rFonts w:ascii="Calibri" w:hAnsi="Calibri"/>
                <w:szCs w:val="20"/>
              </w:rPr>
              <w:t>The Sabbatical Officers declined to receive the</w:t>
            </w:r>
            <w:r w:rsidR="00222876" w:rsidRPr="00264642">
              <w:rPr>
                <w:rFonts w:ascii="Calibri" w:hAnsi="Calibri"/>
                <w:szCs w:val="20"/>
              </w:rPr>
              <w:t>se</w:t>
            </w:r>
            <w:r w:rsidRPr="00264642">
              <w:rPr>
                <w:rFonts w:ascii="Calibri" w:hAnsi="Calibri"/>
                <w:szCs w:val="20"/>
              </w:rPr>
              <w:t xml:space="preserve"> two Prevent inputs due to the Students’ Union current position on the Prevent Duty.</w:t>
            </w:r>
          </w:p>
          <w:p w14:paraId="5B15864F" w14:textId="72670D96" w:rsidR="009258A7" w:rsidRPr="00264642" w:rsidRDefault="009258A7" w:rsidP="0097627D">
            <w:pPr>
              <w:spacing w:before="100" w:beforeAutospacing="1" w:after="120"/>
              <w:rPr>
                <w:rFonts w:ascii="Calibri" w:hAnsi="Calibri"/>
                <w:szCs w:val="20"/>
              </w:rPr>
            </w:pPr>
            <w:r w:rsidRPr="00264642">
              <w:rPr>
                <w:rFonts w:ascii="Calibri" w:hAnsi="Calibri"/>
                <w:szCs w:val="20"/>
              </w:rPr>
              <w:t xml:space="preserve">Instead, </w:t>
            </w:r>
            <w:r w:rsidR="00222876" w:rsidRPr="00264642">
              <w:rPr>
                <w:rFonts w:ascii="Calibri" w:hAnsi="Calibri"/>
                <w:szCs w:val="20"/>
              </w:rPr>
              <w:t xml:space="preserve">the Sabbatical Officers </w:t>
            </w:r>
            <w:r w:rsidRPr="00264642">
              <w:rPr>
                <w:rFonts w:ascii="Calibri" w:hAnsi="Calibri"/>
                <w:szCs w:val="20"/>
              </w:rPr>
              <w:t xml:space="preserve">have been invited to meet with the Senior Manager, Governance and Compliance who will provide them with information </w:t>
            </w:r>
            <w:r w:rsidR="00222876" w:rsidRPr="00264642">
              <w:rPr>
                <w:rFonts w:ascii="Calibri" w:hAnsi="Calibri"/>
                <w:szCs w:val="20"/>
              </w:rPr>
              <w:t>on how the University discharges its duty under the Prevent Duty, and what i</w:t>
            </w:r>
            <w:r w:rsidR="0021475C">
              <w:rPr>
                <w:rFonts w:ascii="Calibri" w:hAnsi="Calibri"/>
                <w:szCs w:val="20"/>
              </w:rPr>
              <w:t>t</w:t>
            </w:r>
            <w:r w:rsidR="00222876" w:rsidRPr="00264642">
              <w:rPr>
                <w:rFonts w:ascii="Calibri" w:hAnsi="Calibri"/>
                <w:szCs w:val="20"/>
              </w:rPr>
              <w:t xml:space="preserve"> actually means on a practical level, in order to provide some context.</w:t>
            </w:r>
          </w:p>
          <w:p w14:paraId="7AAA3CC1" w14:textId="4D3AD5E3" w:rsidR="006C03A0" w:rsidRPr="00264642" w:rsidRDefault="006C03A0" w:rsidP="00213B4C">
            <w:pPr>
              <w:spacing w:before="100" w:beforeAutospacing="1" w:after="120"/>
              <w:rPr>
                <w:rFonts w:ascii="Calibri" w:hAnsi="Calibri"/>
                <w:iCs/>
                <w:szCs w:val="20"/>
              </w:rPr>
            </w:pPr>
            <w:r w:rsidRPr="00264642">
              <w:rPr>
                <w:rFonts w:ascii="Calibri" w:hAnsi="Calibri"/>
                <w:iCs/>
                <w:szCs w:val="20"/>
              </w:rPr>
              <w:lastRenderedPageBreak/>
              <w:t>Reminding UCU of the contractual obligations of staff to engage with Prevent so that the University can discharge its legal obligations.</w:t>
            </w:r>
          </w:p>
          <w:p w14:paraId="72B2DFCB" w14:textId="7B8BC919" w:rsidR="006C03A0" w:rsidRPr="00264642" w:rsidRDefault="006C03A0" w:rsidP="002C45E4">
            <w:pPr>
              <w:spacing w:before="100" w:beforeAutospacing="1" w:after="120"/>
              <w:rPr>
                <w:rFonts w:ascii="Calibri" w:hAnsi="Calibri"/>
                <w:szCs w:val="20"/>
              </w:rPr>
            </w:pPr>
            <w:r w:rsidRPr="00264642">
              <w:rPr>
                <w:rFonts w:ascii="Calibri" w:hAnsi="Calibri"/>
                <w:szCs w:val="20"/>
              </w:rPr>
              <w:t>Offer of r</w:t>
            </w:r>
            <w:r w:rsidRPr="00264642">
              <w:rPr>
                <w:rFonts w:ascii="Calibri" w:hAnsi="Calibri"/>
                <w:iCs/>
                <w:szCs w:val="20"/>
              </w:rPr>
              <w:t>epresentation on the Prevent Steering Group.</w:t>
            </w:r>
          </w:p>
        </w:tc>
        <w:tc>
          <w:tcPr>
            <w:tcW w:w="286" w:type="dxa"/>
            <w:shd w:val="clear" w:color="auto" w:fill="DBE5F1"/>
          </w:tcPr>
          <w:p w14:paraId="5340612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lastRenderedPageBreak/>
              <w:t>1</w:t>
            </w:r>
          </w:p>
        </w:tc>
        <w:tc>
          <w:tcPr>
            <w:tcW w:w="1075" w:type="dxa"/>
            <w:shd w:val="clear" w:color="auto" w:fill="DBE5F1"/>
          </w:tcPr>
          <w:p w14:paraId="67DC49D1"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748" w:type="dxa"/>
            <w:shd w:val="clear" w:color="auto" w:fill="9BBB59"/>
          </w:tcPr>
          <w:p w14:paraId="0908D4A9"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6254" w:type="dxa"/>
            <w:shd w:val="clear" w:color="auto" w:fill="DBE5F1"/>
          </w:tcPr>
          <w:p w14:paraId="32D302EE" w14:textId="13DF8A6F" w:rsidR="006C03A0" w:rsidRPr="0038583D" w:rsidRDefault="006C03A0" w:rsidP="00213B4C">
            <w:pPr>
              <w:spacing w:before="100" w:beforeAutospacing="1" w:after="120"/>
              <w:rPr>
                <w:rFonts w:ascii="Calibri" w:hAnsi="Calibri"/>
                <w:szCs w:val="20"/>
              </w:rPr>
            </w:pPr>
            <w:r w:rsidRPr="0038583D">
              <w:rPr>
                <w:rFonts w:ascii="Calibri" w:hAnsi="Calibri"/>
                <w:iCs/>
                <w:szCs w:val="20"/>
              </w:rPr>
              <w:t xml:space="preserve">4.4.1 As new USSU Sabbatical Officers are appointed they will be required to attend a training session on various Governance aspects </w:t>
            </w:r>
            <w:r w:rsidR="00EF36DB">
              <w:rPr>
                <w:rFonts w:ascii="Calibri" w:hAnsi="Calibri"/>
                <w:iCs/>
                <w:szCs w:val="20"/>
              </w:rPr>
              <w:t>and will be invited to receive</w:t>
            </w:r>
            <w:r w:rsidRPr="0038583D">
              <w:rPr>
                <w:rFonts w:ascii="Calibri" w:hAnsi="Calibri"/>
                <w:iCs/>
                <w:szCs w:val="20"/>
              </w:rPr>
              <w:t xml:space="preserve"> an input from the DfE Prevent Co-ordinator on the Prevent Duty.</w:t>
            </w:r>
          </w:p>
          <w:p w14:paraId="64242C64" w14:textId="77777777" w:rsidR="006C03A0" w:rsidRPr="0038583D" w:rsidRDefault="006C03A0" w:rsidP="00213B4C">
            <w:pPr>
              <w:spacing w:before="100" w:beforeAutospacing="1" w:after="120"/>
              <w:rPr>
                <w:rFonts w:ascii="Calibri" w:hAnsi="Calibri"/>
                <w:iCs/>
                <w:szCs w:val="20"/>
              </w:rPr>
            </w:pPr>
          </w:p>
        </w:tc>
        <w:tc>
          <w:tcPr>
            <w:tcW w:w="1276" w:type="dxa"/>
            <w:shd w:val="clear" w:color="auto" w:fill="DBE5F1"/>
          </w:tcPr>
          <w:p w14:paraId="5AC7E08D"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Ongoing</w:t>
            </w:r>
          </w:p>
        </w:tc>
        <w:tc>
          <w:tcPr>
            <w:tcW w:w="2268" w:type="dxa"/>
            <w:shd w:val="clear" w:color="auto" w:fill="DBE5F1"/>
          </w:tcPr>
          <w:p w14:paraId="40FE747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Prevent Co-ordinator (LS)</w:t>
            </w:r>
            <w:r w:rsidR="002C45E4">
              <w:rPr>
                <w:rFonts w:ascii="Calibri" w:hAnsi="Calibri"/>
                <w:iCs/>
                <w:szCs w:val="20"/>
              </w:rPr>
              <w:t xml:space="preserve"> and Head of Governance Services (SP)</w:t>
            </w:r>
          </w:p>
        </w:tc>
        <w:tc>
          <w:tcPr>
            <w:tcW w:w="851" w:type="dxa"/>
            <w:shd w:val="clear" w:color="auto" w:fill="DBE5F1"/>
          </w:tcPr>
          <w:p w14:paraId="7CC6BAA4"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1</w:t>
            </w:r>
          </w:p>
        </w:tc>
        <w:tc>
          <w:tcPr>
            <w:tcW w:w="1134" w:type="dxa"/>
            <w:shd w:val="clear" w:color="auto" w:fill="DBE5F1"/>
          </w:tcPr>
          <w:p w14:paraId="6EF3155E"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c>
          <w:tcPr>
            <w:tcW w:w="1134" w:type="dxa"/>
            <w:shd w:val="clear" w:color="auto" w:fill="9BBB59"/>
          </w:tcPr>
          <w:p w14:paraId="7E87B7A6" w14:textId="77777777" w:rsidR="006C03A0" w:rsidRPr="0038583D" w:rsidRDefault="006C03A0" w:rsidP="00213B4C">
            <w:pPr>
              <w:spacing w:before="100" w:beforeAutospacing="1" w:after="120"/>
              <w:rPr>
                <w:rFonts w:ascii="Calibri" w:hAnsi="Calibri"/>
                <w:iCs/>
                <w:szCs w:val="20"/>
              </w:rPr>
            </w:pPr>
            <w:r w:rsidRPr="0038583D">
              <w:rPr>
                <w:rFonts w:ascii="Calibri" w:hAnsi="Calibri"/>
                <w:iCs/>
                <w:szCs w:val="20"/>
              </w:rPr>
              <w:t>2</w:t>
            </w:r>
          </w:p>
        </w:tc>
      </w:tr>
    </w:tbl>
    <w:p w14:paraId="5549355C" w14:textId="2A2FBAAC" w:rsidR="00CE67C3" w:rsidRDefault="00CE67C3" w:rsidP="006C03A0">
      <w:pPr>
        <w:spacing w:before="100" w:beforeAutospacing="1" w:after="120"/>
        <w:ind w:left="-567"/>
        <w:contextualSpacing/>
        <w:rPr>
          <w:rFonts w:ascii="Calibri" w:hAnsi="Calibri" w:cs="Calibri"/>
          <w:b/>
          <w:bCs/>
          <w:iCs/>
          <w:sz w:val="24"/>
          <w:lang w:eastAsia="en-GB"/>
        </w:rPr>
      </w:pPr>
    </w:p>
    <w:p w14:paraId="04192A29" w14:textId="77777777" w:rsidR="00CE67C3" w:rsidRPr="0038583D" w:rsidRDefault="00CE67C3" w:rsidP="006C03A0">
      <w:pPr>
        <w:spacing w:before="100" w:beforeAutospacing="1" w:after="120"/>
        <w:ind w:left="-567"/>
        <w:contextualSpacing/>
        <w:rPr>
          <w:rFonts w:ascii="Calibri" w:hAnsi="Calibri" w:cs="Calibri"/>
          <w:b/>
          <w:bCs/>
          <w:iCs/>
          <w:sz w:val="24"/>
          <w:lang w:eastAsia="en-GB"/>
        </w:rPr>
      </w:pPr>
    </w:p>
    <w:p w14:paraId="3A96292A"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3852B96C"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17184977"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04DB8521"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292DC073"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471E289B"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44CE2A4E"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269A4032"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656780D8"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3E144143"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06A27019"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1250247D"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5DA76698" w14:textId="5E165E66" w:rsidR="00264642" w:rsidRDefault="00264642" w:rsidP="006C03A0">
      <w:pPr>
        <w:spacing w:before="100" w:beforeAutospacing="1" w:after="120"/>
        <w:ind w:left="-567"/>
        <w:contextualSpacing/>
        <w:rPr>
          <w:rFonts w:ascii="Calibri" w:hAnsi="Calibri" w:cs="Calibri"/>
          <w:b/>
          <w:noProof/>
          <w:szCs w:val="22"/>
          <w:lang w:eastAsia="en-GB"/>
        </w:rPr>
      </w:pPr>
    </w:p>
    <w:p w14:paraId="1B3054F6" w14:textId="2838160B" w:rsidR="00FC0B03" w:rsidRDefault="00FC0B03" w:rsidP="006C03A0">
      <w:pPr>
        <w:spacing w:before="100" w:beforeAutospacing="1" w:after="120"/>
        <w:ind w:left="-567"/>
        <w:contextualSpacing/>
        <w:rPr>
          <w:rFonts w:ascii="Calibri" w:hAnsi="Calibri" w:cs="Calibri"/>
          <w:b/>
          <w:noProof/>
          <w:szCs w:val="22"/>
          <w:lang w:eastAsia="en-GB"/>
        </w:rPr>
      </w:pPr>
    </w:p>
    <w:p w14:paraId="0AB27213" w14:textId="7ACF00B7" w:rsidR="00FC0B03" w:rsidRDefault="00FC0B03" w:rsidP="006C03A0">
      <w:pPr>
        <w:spacing w:before="100" w:beforeAutospacing="1" w:after="120"/>
        <w:ind w:left="-567"/>
        <w:contextualSpacing/>
        <w:rPr>
          <w:rFonts w:ascii="Calibri" w:hAnsi="Calibri" w:cs="Calibri"/>
          <w:b/>
          <w:noProof/>
          <w:szCs w:val="22"/>
          <w:lang w:eastAsia="en-GB"/>
        </w:rPr>
      </w:pPr>
    </w:p>
    <w:p w14:paraId="725B670F" w14:textId="378DB0F2" w:rsidR="00FC0B03" w:rsidRDefault="00FC0B03" w:rsidP="006C03A0">
      <w:pPr>
        <w:spacing w:before="100" w:beforeAutospacing="1" w:after="120"/>
        <w:ind w:left="-567"/>
        <w:contextualSpacing/>
        <w:rPr>
          <w:rFonts w:ascii="Calibri" w:hAnsi="Calibri" w:cs="Calibri"/>
          <w:b/>
          <w:noProof/>
          <w:szCs w:val="22"/>
          <w:lang w:eastAsia="en-GB"/>
        </w:rPr>
      </w:pPr>
    </w:p>
    <w:p w14:paraId="51CA0F8D" w14:textId="4FC373AE" w:rsidR="00FC0B03" w:rsidRDefault="00FC0B03" w:rsidP="006C03A0">
      <w:pPr>
        <w:spacing w:before="100" w:beforeAutospacing="1" w:after="120"/>
        <w:ind w:left="-567"/>
        <w:contextualSpacing/>
        <w:rPr>
          <w:rFonts w:ascii="Calibri" w:hAnsi="Calibri" w:cs="Calibri"/>
          <w:b/>
          <w:noProof/>
          <w:szCs w:val="22"/>
          <w:lang w:eastAsia="en-GB"/>
        </w:rPr>
      </w:pPr>
    </w:p>
    <w:p w14:paraId="1839C3CA" w14:textId="7B18CD3C" w:rsidR="00FC0B03" w:rsidRDefault="00FC0B03" w:rsidP="006C03A0">
      <w:pPr>
        <w:spacing w:before="100" w:beforeAutospacing="1" w:after="120"/>
        <w:ind w:left="-567"/>
        <w:contextualSpacing/>
        <w:rPr>
          <w:rFonts w:ascii="Calibri" w:hAnsi="Calibri" w:cs="Calibri"/>
          <w:b/>
          <w:noProof/>
          <w:szCs w:val="22"/>
          <w:lang w:eastAsia="en-GB"/>
        </w:rPr>
      </w:pPr>
    </w:p>
    <w:p w14:paraId="01866120" w14:textId="1B48B283" w:rsidR="00FC0B03" w:rsidRDefault="00FC0B03" w:rsidP="006C03A0">
      <w:pPr>
        <w:spacing w:before="100" w:beforeAutospacing="1" w:after="120"/>
        <w:ind w:left="-567"/>
        <w:contextualSpacing/>
        <w:rPr>
          <w:rFonts w:ascii="Calibri" w:hAnsi="Calibri" w:cs="Calibri"/>
          <w:b/>
          <w:noProof/>
          <w:szCs w:val="22"/>
          <w:lang w:eastAsia="en-GB"/>
        </w:rPr>
      </w:pPr>
    </w:p>
    <w:p w14:paraId="4EF513AC" w14:textId="2B0088C9" w:rsidR="00FC0B03" w:rsidRDefault="00FC0B03" w:rsidP="006C03A0">
      <w:pPr>
        <w:spacing w:before="100" w:beforeAutospacing="1" w:after="120"/>
        <w:ind w:left="-567"/>
        <w:contextualSpacing/>
        <w:rPr>
          <w:rFonts w:ascii="Calibri" w:hAnsi="Calibri" w:cs="Calibri"/>
          <w:b/>
          <w:noProof/>
          <w:szCs w:val="22"/>
          <w:lang w:eastAsia="en-GB"/>
        </w:rPr>
      </w:pPr>
    </w:p>
    <w:p w14:paraId="4E8C5A57" w14:textId="797294D8" w:rsidR="00FC0B03" w:rsidRDefault="00FC0B03" w:rsidP="006C03A0">
      <w:pPr>
        <w:spacing w:before="100" w:beforeAutospacing="1" w:after="120"/>
        <w:ind w:left="-567"/>
        <w:contextualSpacing/>
        <w:rPr>
          <w:rFonts w:ascii="Calibri" w:hAnsi="Calibri" w:cs="Calibri"/>
          <w:b/>
          <w:noProof/>
          <w:szCs w:val="22"/>
          <w:lang w:eastAsia="en-GB"/>
        </w:rPr>
      </w:pPr>
    </w:p>
    <w:p w14:paraId="3BC5091F" w14:textId="10FBBE69" w:rsidR="00FC0B03" w:rsidRDefault="00FC0B03" w:rsidP="006C03A0">
      <w:pPr>
        <w:spacing w:before="100" w:beforeAutospacing="1" w:after="120"/>
        <w:ind w:left="-567"/>
        <w:contextualSpacing/>
        <w:rPr>
          <w:rFonts w:ascii="Calibri" w:hAnsi="Calibri" w:cs="Calibri"/>
          <w:b/>
          <w:noProof/>
          <w:szCs w:val="22"/>
          <w:lang w:eastAsia="en-GB"/>
        </w:rPr>
      </w:pPr>
    </w:p>
    <w:p w14:paraId="24C474F3" w14:textId="1FC7479A" w:rsidR="00FC0B03" w:rsidRDefault="00FC0B03" w:rsidP="006C03A0">
      <w:pPr>
        <w:spacing w:before="100" w:beforeAutospacing="1" w:after="120"/>
        <w:ind w:left="-567"/>
        <w:contextualSpacing/>
        <w:rPr>
          <w:rFonts w:ascii="Calibri" w:hAnsi="Calibri" w:cs="Calibri"/>
          <w:b/>
          <w:noProof/>
          <w:szCs w:val="22"/>
          <w:lang w:eastAsia="en-GB"/>
        </w:rPr>
      </w:pPr>
    </w:p>
    <w:p w14:paraId="3B1290B3" w14:textId="5245EDE1" w:rsidR="00FC0B03" w:rsidRDefault="00FC0B03" w:rsidP="006C03A0">
      <w:pPr>
        <w:spacing w:before="100" w:beforeAutospacing="1" w:after="120"/>
        <w:ind w:left="-567"/>
        <w:contextualSpacing/>
        <w:rPr>
          <w:rFonts w:ascii="Calibri" w:hAnsi="Calibri" w:cs="Calibri"/>
          <w:b/>
          <w:noProof/>
          <w:szCs w:val="22"/>
          <w:lang w:eastAsia="en-GB"/>
        </w:rPr>
      </w:pPr>
    </w:p>
    <w:p w14:paraId="5FC3BC2F" w14:textId="7317430B" w:rsidR="00FC0B03" w:rsidRDefault="00FC0B03" w:rsidP="006C03A0">
      <w:pPr>
        <w:spacing w:before="100" w:beforeAutospacing="1" w:after="120"/>
        <w:ind w:left="-567"/>
        <w:contextualSpacing/>
        <w:rPr>
          <w:rFonts w:ascii="Calibri" w:hAnsi="Calibri" w:cs="Calibri"/>
          <w:b/>
          <w:noProof/>
          <w:szCs w:val="22"/>
          <w:lang w:eastAsia="en-GB"/>
        </w:rPr>
      </w:pPr>
    </w:p>
    <w:p w14:paraId="5E73F362" w14:textId="214CD025" w:rsidR="00FC0B03" w:rsidRDefault="00FC0B03" w:rsidP="006C03A0">
      <w:pPr>
        <w:spacing w:before="100" w:beforeAutospacing="1" w:after="120"/>
        <w:ind w:left="-567"/>
        <w:contextualSpacing/>
        <w:rPr>
          <w:rFonts w:ascii="Calibri" w:hAnsi="Calibri" w:cs="Calibri"/>
          <w:b/>
          <w:noProof/>
          <w:szCs w:val="22"/>
          <w:lang w:eastAsia="en-GB"/>
        </w:rPr>
      </w:pPr>
    </w:p>
    <w:p w14:paraId="1AD9D13E" w14:textId="313CFB09" w:rsidR="00FC0B03" w:rsidRDefault="00FC0B03" w:rsidP="006C03A0">
      <w:pPr>
        <w:spacing w:before="100" w:beforeAutospacing="1" w:after="120"/>
        <w:ind w:left="-567"/>
        <w:contextualSpacing/>
        <w:rPr>
          <w:rFonts w:ascii="Calibri" w:hAnsi="Calibri" w:cs="Calibri"/>
          <w:b/>
          <w:noProof/>
          <w:szCs w:val="22"/>
          <w:lang w:eastAsia="en-GB"/>
        </w:rPr>
      </w:pPr>
    </w:p>
    <w:p w14:paraId="0B775500" w14:textId="7C049479" w:rsidR="00FC0B03" w:rsidRDefault="00FC0B03" w:rsidP="006C03A0">
      <w:pPr>
        <w:spacing w:before="100" w:beforeAutospacing="1" w:after="120"/>
        <w:ind w:left="-567"/>
        <w:contextualSpacing/>
        <w:rPr>
          <w:rFonts w:ascii="Calibri" w:hAnsi="Calibri" w:cs="Calibri"/>
          <w:b/>
          <w:noProof/>
          <w:szCs w:val="22"/>
          <w:lang w:eastAsia="en-GB"/>
        </w:rPr>
      </w:pPr>
    </w:p>
    <w:p w14:paraId="56C0DDFE" w14:textId="401132D0" w:rsidR="00FC0B03" w:rsidRDefault="00FC0B03" w:rsidP="006C03A0">
      <w:pPr>
        <w:spacing w:before="100" w:beforeAutospacing="1" w:after="120"/>
        <w:ind w:left="-567"/>
        <w:contextualSpacing/>
        <w:rPr>
          <w:rFonts w:ascii="Calibri" w:hAnsi="Calibri" w:cs="Calibri"/>
          <w:b/>
          <w:noProof/>
          <w:szCs w:val="22"/>
          <w:lang w:eastAsia="en-GB"/>
        </w:rPr>
      </w:pPr>
    </w:p>
    <w:p w14:paraId="6ED731B9" w14:textId="509B7014" w:rsidR="00FC0B03" w:rsidRDefault="00FC0B03" w:rsidP="006C03A0">
      <w:pPr>
        <w:spacing w:before="100" w:beforeAutospacing="1" w:after="120"/>
        <w:ind w:left="-567"/>
        <w:contextualSpacing/>
        <w:rPr>
          <w:rFonts w:ascii="Calibri" w:hAnsi="Calibri" w:cs="Calibri"/>
          <w:b/>
          <w:noProof/>
          <w:szCs w:val="22"/>
          <w:lang w:eastAsia="en-GB"/>
        </w:rPr>
      </w:pPr>
    </w:p>
    <w:p w14:paraId="7627A26D" w14:textId="698F36C4" w:rsidR="00FC0B03" w:rsidRDefault="00FC0B03" w:rsidP="006C03A0">
      <w:pPr>
        <w:spacing w:before="100" w:beforeAutospacing="1" w:after="120"/>
        <w:ind w:left="-567"/>
        <w:contextualSpacing/>
        <w:rPr>
          <w:rFonts w:ascii="Calibri" w:hAnsi="Calibri" w:cs="Calibri"/>
          <w:b/>
          <w:noProof/>
          <w:szCs w:val="22"/>
          <w:lang w:eastAsia="en-GB"/>
        </w:rPr>
      </w:pPr>
    </w:p>
    <w:p w14:paraId="3634F11E" w14:textId="2812E5AA" w:rsidR="00FC0B03" w:rsidRDefault="00FC0B03" w:rsidP="006C03A0">
      <w:pPr>
        <w:spacing w:before="100" w:beforeAutospacing="1" w:after="120"/>
        <w:ind w:left="-567"/>
        <w:contextualSpacing/>
        <w:rPr>
          <w:rFonts w:ascii="Calibri" w:hAnsi="Calibri" w:cs="Calibri"/>
          <w:b/>
          <w:noProof/>
          <w:szCs w:val="22"/>
          <w:lang w:eastAsia="en-GB"/>
        </w:rPr>
      </w:pPr>
    </w:p>
    <w:p w14:paraId="78017575" w14:textId="77777777" w:rsidR="00FC0B03" w:rsidRDefault="00FC0B03" w:rsidP="006C03A0">
      <w:pPr>
        <w:spacing w:before="100" w:beforeAutospacing="1" w:after="120"/>
        <w:ind w:left="-567"/>
        <w:contextualSpacing/>
        <w:rPr>
          <w:rFonts w:ascii="Calibri" w:hAnsi="Calibri" w:cs="Calibri"/>
          <w:b/>
          <w:noProof/>
          <w:szCs w:val="22"/>
          <w:lang w:eastAsia="en-GB"/>
        </w:rPr>
      </w:pPr>
    </w:p>
    <w:p w14:paraId="7C610490"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5B86902F"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0B60D95D"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3DC5590E"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4237B500" w14:textId="77777777" w:rsidR="00264642" w:rsidRDefault="00264642" w:rsidP="006C03A0">
      <w:pPr>
        <w:spacing w:before="100" w:beforeAutospacing="1" w:after="120"/>
        <w:ind w:left="-567"/>
        <w:contextualSpacing/>
        <w:rPr>
          <w:rFonts w:ascii="Calibri" w:hAnsi="Calibri" w:cs="Calibri"/>
          <w:b/>
          <w:noProof/>
          <w:szCs w:val="22"/>
          <w:lang w:eastAsia="en-GB"/>
        </w:rPr>
      </w:pPr>
    </w:p>
    <w:p w14:paraId="1C3C4CBF" w14:textId="6E27A301" w:rsidR="006C03A0" w:rsidRPr="0038583D" w:rsidRDefault="006C03A0" w:rsidP="006C03A0">
      <w:pPr>
        <w:spacing w:before="100" w:beforeAutospacing="1" w:after="120"/>
        <w:ind w:left="-567"/>
        <w:contextualSpacing/>
        <w:rPr>
          <w:rFonts w:ascii="Calibri" w:hAnsi="Calibri" w:cs="Calibri"/>
          <w:b/>
          <w:noProof/>
          <w:szCs w:val="22"/>
          <w:lang w:eastAsia="en-GB"/>
        </w:rPr>
      </w:pPr>
      <w:r w:rsidRPr="0038583D">
        <w:rPr>
          <w:rFonts w:ascii="Calibri" w:hAnsi="Calibri" w:cs="Calibri"/>
          <w:b/>
          <w:noProof/>
          <w:szCs w:val="22"/>
          <w:lang w:eastAsia="en-GB"/>
        </w:rPr>
        <w:t>University of Sussex Risk Management Matrix 2021</w:t>
      </w:r>
    </w:p>
    <w:p w14:paraId="5058FE86" w14:textId="77777777" w:rsidR="006C03A0" w:rsidRPr="0038583D" w:rsidRDefault="006C03A0" w:rsidP="006C03A0">
      <w:pPr>
        <w:spacing w:before="100" w:beforeAutospacing="1" w:after="120"/>
        <w:ind w:left="-567"/>
        <w:contextualSpacing/>
        <w:rPr>
          <w:rFonts w:ascii="Calibri" w:hAnsi="Calibri" w:cs="Calibri"/>
          <w:b/>
          <w:bCs/>
          <w:iCs/>
          <w:sz w:val="24"/>
          <w:lang w:eastAsia="en-GB"/>
        </w:rPr>
      </w:pPr>
      <w:r w:rsidRPr="0038583D">
        <w:rPr>
          <w:rFonts w:cs="Arial"/>
          <w:noProof/>
          <w:sz w:val="24"/>
          <w:lang w:eastAsia="en-GB"/>
        </w:rPr>
        <w:lastRenderedPageBreak/>
        <w:drawing>
          <wp:inline distT="0" distB="0" distL="0" distR="0" wp14:anchorId="3D2B60F0" wp14:editId="4432B5D2">
            <wp:extent cx="12657455"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6275" cy="7343415"/>
                    </a:xfrm>
                    <a:prstGeom prst="rect">
                      <a:avLst/>
                    </a:prstGeom>
                  </pic:spPr>
                </pic:pic>
              </a:graphicData>
            </a:graphic>
          </wp:inline>
        </w:drawing>
      </w:r>
    </w:p>
    <w:p w14:paraId="01292AEF" w14:textId="77777777" w:rsidR="006C03A0" w:rsidRDefault="006C03A0" w:rsidP="006C03A0">
      <w:pPr>
        <w:rPr>
          <w:rFonts w:asciiTheme="minorHAnsi" w:hAnsiTheme="minorHAnsi" w:cstheme="minorHAnsi"/>
          <w:b/>
          <w:u w:val="single"/>
        </w:rPr>
      </w:pPr>
    </w:p>
    <w:p w14:paraId="2360B48B" w14:textId="77777777" w:rsidR="000A0FEA" w:rsidRDefault="000A0FEA"/>
    <w:sectPr w:rsidR="000A0FEA" w:rsidSect="00AE7452">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5FE3" w14:textId="77777777" w:rsidR="00084052" w:rsidRDefault="00084052" w:rsidP="006C03A0">
      <w:r>
        <w:separator/>
      </w:r>
    </w:p>
  </w:endnote>
  <w:endnote w:type="continuationSeparator" w:id="0">
    <w:p w14:paraId="6B6E373F" w14:textId="77777777" w:rsidR="00084052" w:rsidRDefault="00084052" w:rsidP="006C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0314" w14:textId="77777777" w:rsidR="00084052" w:rsidRDefault="00084052" w:rsidP="006C03A0">
      <w:r>
        <w:separator/>
      </w:r>
    </w:p>
  </w:footnote>
  <w:footnote w:type="continuationSeparator" w:id="0">
    <w:p w14:paraId="14984EB8" w14:textId="77777777" w:rsidR="00084052" w:rsidRDefault="00084052" w:rsidP="006C03A0">
      <w:r>
        <w:continuationSeparator/>
      </w:r>
    </w:p>
  </w:footnote>
  <w:footnote w:id="1">
    <w:p w14:paraId="11E2586A" w14:textId="77777777" w:rsidR="006C03A0" w:rsidRDefault="006C03A0" w:rsidP="006C03A0">
      <w:pPr>
        <w:pStyle w:val="FootnoteText"/>
      </w:pPr>
      <w:r>
        <w:rPr>
          <w:rStyle w:val="FootnoteReference"/>
        </w:rPr>
        <w:footnoteRef/>
      </w:r>
      <w:r>
        <w:t xml:space="preserve"> Staff includes the staff apprenticeship scheme</w:t>
      </w:r>
    </w:p>
    <w:p w14:paraId="3366A1B1" w14:textId="77777777" w:rsidR="006C03A0" w:rsidRDefault="006C03A0" w:rsidP="006C03A0">
      <w:pPr>
        <w:pStyle w:val="FootnoteText"/>
      </w:pPr>
    </w:p>
  </w:footnote>
  <w:footnote w:id="2">
    <w:p w14:paraId="0355CC36" w14:textId="77777777" w:rsidR="006C03A0" w:rsidRDefault="006C03A0" w:rsidP="006C03A0">
      <w:pPr>
        <w:pStyle w:val="FootnoteText"/>
        <w:ind w:left="-567"/>
      </w:pPr>
      <w:r>
        <w:rPr>
          <w:rStyle w:val="FootnoteReference"/>
        </w:rPr>
        <w:footnoteRef/>
      </w:r>
      <w:r>
        <w:t xml:space="preserve"> Action shared with BHCC and noted in their Action Plan</w:t>
      </w:r>
    </w:p>
  </w:footnote>
  <w:footnote w:id="3">
    <w:p w14:paraId="0D87DCFB" w14:textId="77777777" w:rsidR="006C03A0" w:rsidRDefault="006C03A0" w:rsidP="006C03A0">
      <w:pPr>
        <w:pStyle w:val="FootnoteText"/>
        <w:ind w:left="-567"/>
      </w:pPr>
      <w:r>
        <w:rPr>
          <w:rStyle w:val="FootnoteReference"/>
        </w:rPr>
        <w:footnoteRef/>
      </w:r>
      <w:r>
        <w:t xml:space="preserve"> As above</w:t>
      </w:r>
    </w:p>
  </w:footnote>
  <w:footnote w:id="4">
    <w:p w14:paraId="303546DA" w14:textId="77777777" w:rsidR="006C03A0" w:rsidRDefault="006C03A0" w:rsidP="006C03A0">
      <w:pPr>
        <w:pStyle w:val="FootnoteText"/>
        <w:ind w:left="142" w:hanging="142"/>
      </w:pPr>
      <w:r>
        <w:rPr>
          <w:rStyle w:val="FootnoteReference"/>
        </w:rPr>
        <w:footnoteRef/>
      </w:r>
      <w:r>
        <w:t xml:space="preserve"> Action shared with BHCC and noted in their Action Plan</w:t>
      </w:r>
    </w:p>
  </w:footnote>
  <w:footnote w:id="5">
    <w:p w14:paraId="06EBDF7B" w14:textId="77777777" w:rsidR="006C03A0" w:rsidRDefault="006C03A0" w:rsidP="006C03A0">
      <w:pPr>
        <w:pStyle w:val="FootnoteText"/>
      </w:pPr>
      <w:r>
        <w:rPr>
          <w:rStyle w:val="FootnoteReference"/>
        </w:rPr>
        <w:footnoteRef/>
      </w:r>
      <w:r>
        <w:t xml:space="preserve"> </w:t>
      </w:r>
      <w:hyperlink r:id="rId1" w:history="1">
        <w:r>
          <w:rPr>
            <w:rStyle w:val="Hyperlink"/>
          </w:rPr>
          <w:t>https://www.officeforstudents.org.uk/publications/prevent-duty-framework-for-monitoring-in-higher-education-in-england-2018-19-onwards/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051"/>
    <w:multiLevelType w:val="hybridMultilevel"/>
    <w:tmpl w:val="815894F2"/>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415B10CF"/>
    <w:multiLevelType w:val="hybridMultilevel"/>
    <w:tmpl w:val="EF30CC4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4AA84076"/>
    <w:multiLevelType w:val="hybridMultilevel"/>
    <w:tmpl w:val="78CED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A0"/>
    <w:rsid w:val="00030F3B"/>
    <w:rsid w:val="00084052"/>
    <w:rsid w:val="000A0FEA"/>
    <w:rsid w:val="00104258"/>
    <w:rsid w:val="00143761"/>
    <w:rsid w:val="00144FD0"/>
    <w:rsid w:val="001918A9"/>
    <w:rsid w:val="001F30BF"/>
    <w:rsid w:val="0021475C"/>
    <w:rsid w:val="00222876"/>
    <w:rsid w:val="00264642"/>
    <w:rsid w:val="002C45E4"/>
    <w:rsid w:val="00392DAF"/>
    <w:rsid w:val="003B0A02"/>
    <w:rsid w:val="004560E4"/>
    <w:rsid w:val="004B7D3E"/>
    <w:rsid w:val="0055586F"/>
    <w:rsid w:val="00570840"/>
    <w:rsid w:val="00570A8F"/>
    <w:rsid w:val="006223B7"/>
    <w:rsid w:val="006C03A0"/>
    <w:rsid w:val="00734CD1"/>
    <w:rsid w:val="00755FF5"/>
    <w:rsid w:val="007D7B44"/>
    <w:rsid w:val="00805B2E"/>
    <w:rsid w:val="00825275"/>
    <w:rsid w:val="0089551C"/>
    <w:rsid w:val="009258A7"/>
    <w:rsid w:val="0097627D"/>
    <w:rsid w:val="00A6662D"/>
    <w:rsid w:val="00AE7D67"/>
    <w:rsid w:val="00B54100"/>
    <w:rsid w:val="00BE2D26"/>
    <w:rsid w:val="00C036D4"/>
    <w:rsid w:val="00C459CA"/>
    <w:rsid w:val="00CB0327"/>
    <w:rsid w:val="00CE67C3"/>
    <w:rsid w:val="00DD0CCC"/>
    <w:rsid w:val="00DE428C"/>
    <w:rsid w:val="00DF726A"/>
    <w:rsid w:val="00EE0FF6"/>
    <w:rsid w:val="00EF36DB"/>
    <w:rsid w:val="00FC0B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7265"/>
  <w15:chartTrackingRefBased/>
  <w15:docId w15:val="{098A496B-A8B6-45E6-81A9-9A741B95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3A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PA Hyperlink"/>
    <w:basedOn w:val="DefaultParagraphFont"/>
    <w:uiPriority w:val="99"/>
    <w:rsid w:val="006C03A0"/>
    <w:rPr>
      <w:color w:val="0000FF"/>
      <w:u w:val="single"/>
    </w:rPr>
  </w:style>
  <w:style w:type="paragraph" w:styleId="FootnoteText">
    <w:name w:val="footnote text"/>
    <w:basedOn w:val="Normal"/>
    <w:link w:val="FootnoteTextChar"/>
    <w:uiPriority w:val="99"/>
    <w:unhideWhenUsed/>
    <w:rsid w:val="006C03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C03A0"/>
    <w:rPr>
      <w:sz w:val="20"/>
      <w:szCs w:val="20"/>
    </w:rPr>
  </w:style>
  <w:style w:type="character" w:styleId="FootnoteReference">
    <w:name w:val="footnote reference"/>
    <w:basedOn w:val="DefaultParagraphFont"/>
    <w:uiPriority w:val="99"/>
    <w:unhideWhenUsed/>
    <w:rsid w:val="006C03A0"/>
    <w:rPr>
      <w:vertAlign w:val="superscript"/>
    </w:rPr>
  </w:style>
  <w:style w:type="table" w:customStyle="1" w:styleId="TableGrid1">
    <w:name w:val="Table Grid1"/>
    <w:basedOn w:val="TableNormal"/>
    <w:next w:val="TableGrid"/>
    <w:uiPriority w:val="99"/>
    <w:rsid w:val="006C03A0"/>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E4"/>
    <w:rPr>
      <w:rFonts w:ascii="Segoe UI" w:eastAsia="Times New Roman" w:hAnsi="Segoe UI" w:cs="Segoe UI"/>
      <w:sz w:val="18"/>
      <w:szCs w:val="18"/>
    </w:rPr>
  </w:style>
  <w:style w:type="paragraph" w:styleId="Revision">
    <w:name w:val="Revision"/>
    <w:hidden/>
    <w:uiPriority w:val="99"/>
    <w:semiHidden/>
    <w:rsid w:val="002C45E4"/>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2C45E4"/>
    <w:rPr>
      <w:sz w:val="16"/>
      <w:szCs w:val="16"/>
    </w:rPr>
  </w:style>
  <w:style w:type="paragraph" w:styleId="CommentText">
    <w:name w:val="annotation text"/>
    <w:basedOn w:val="Normal"/>
    <w:link w:val="CommentTextChar"/>
    <w:uiPriority w:val="99"/>
    <w:semiHidden/>
    <w:unhideWhenUsed/>
    <w:rsid w:val="002C45E4"/>
    <w:rPr>
      <w:sz w:val="20"/>
      <w:szCs w:val="20"/>
    </w:rPr>
  </w:style>
  <w:style w:type="character" w:customStyle="1" w:styleId="CommentTextChar">
    <w:name w:val="Comment Text Char"/>
    <w:basedOn w:val="DefaultParagraphFont"/>
    <w:link w:val="CommentText"/>
    <w:uiPriority w:val="99"/>
    <w:semiHidden/>
    <w:rsid w:val="002C45E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C45E4"/>
    <w:rPr>
      <w:b/>
      <w:bCs/>
    </w:rPr>
  </w:style>
  <w:style w:type="character" w:customStyle="1" w:styleId="CommentSubjectChar">
    <w:name w:val="Comment Subject Char"/>
    <w:basedOn w:val="CommentTextChar"/>
    <w:link w:val="CommentSubject"/>
    <w:uiPriority w:val="99"/>
    <w:semiHidden/>
    <w:rsid w:val="002C45E4"/>
    <w:rPr>
      <w:rFonts w:ascii="Arial" w:eastAsia="Times New Roman" w:hAnsi="Arial" w:cs="Times New Roman"/>
      <w:b/>
      <w:bCs/>
      <w:sz w:val="20"/>
      <w:szCs w:val="20"/>
    </w:rPr>
  </w:style>
  <w:style w:type="paragraph" w:styleId="Header">
    <w:name w:val="header"/>
    <w:basedOn w:val="Normal"/>
    <w:link w:val="HeaderChar"/>
    <w:uiPriority w:val="99"/>
    <w:unhideWhenUsed/>
    <w:rsid w:val="00EF36DB"/>
    <w:pPr>
      <w:tabs>
        <w:tab w:val="center" w:pos="4513"/>
        <w:tab w:val="right" w:pos="9026"/>
      </w:tabs>
    </w:pPr>
  </w:style>
  <w:style w:type="character" w:customStyle="1" w:styleId="HeaderChar">
    <w:name w:val="Header Char"/>
    <w:basedOn w:val="DefaultParagraphFont"/>
    <w:link w:val="Header"/>
    <w:uiPriority w:val="99"/>
    <w:rsid w:val="00EF36DB"/>
    <w:rPr>
      <w:rFonts w:ascii="Arial" w:eastAsia="Times New Roman" w:hAnsi="Arial" w:cs="Times New Roman"/>
      <w:szCs w:val="24"/>
    </w:rPr>
  </w:style>
  <w:style w:type="paragraph" w:styleId="Footer">
    <w:name w:val="footer"/>
    <w:basedOn w:val="Normal"/>
    <w:link w:val="FooterChar"/>
    <w:uiPriority w:val="99"/>
    <w:unhideWhenUsed/>
    <w:rsid w:val="00EF36DB"/>
    <w:pPr>
      <w:tabs>
        <w:tab w:val="center" w:pos="4513"/>
        <w:tab w:val="right" w:pos="9026"/>
      </w:tabs>
    </w:pPr>
  </w:style>
  <w:style w:type="character" w:customStyle="1" w:styleId="FooterChar">
    <w:name w:val="Footer Char"/>
    <w:basedOn w:val="DefaultParagraphFont"/>
    <w:link w:val="Footer"/>
    <w:uiPriority w:val="99"/>
    <w:rsid w:val="00EF36DB"/>
    <w:rPr>
      <w:rFonts w:ascii="Arial" w:eastAsia="Times New Roman" w:hAnsi="Arial" w:cs="Times New Roman"/>
      <w:szCs w:val="24"/>
    </w:rPr>
  </w:style>
  <w:style w:type="character" w:styleId="UnresolvedMention">
    <w:name w:val="Unresolved Mention"/>
    <w:basedOn w:val="DefaultParagraphFont"/>
    <w:uiPriority w:val="99"/>
    <w:semiHidden/>
    <w:unhideWhenUsed/>
    <w:rsid w:val="0026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ac.uk/safeguarding/documents/safeguarding-policy-(08-2020).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ssex.ac.uk/ogs/policies/external-speak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publications/prevent-duty-framework-for-monitoring-in-higher-education-in-england-2018-19-on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Spenceley</dc:creator>
  <cp:keywords/>
  <dc:description/>
  <cp:lastModifiedBy>Louise Spenceley</cp:lastModifiedBy>
  <cp:revision>2</cp:revision>
  <dcterms:created xsi:type="dcterms:W3CDTF">2022-11-07T16:12:00Z</dcterms:created>
  <dcterms:modified xsi:type="dcterms:W3CDTF">2022-11-07T16:12:00Z</dcterms:modified>
</cp:coreProperties>
</file>