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87D5" w14:textId="234CDA98" w:rsidR="00533E92" w:rsidRPr="00533E92" w:rsidRDefault="00533E92" w:rsidP="000273AF">
      <w:pPr>
        <w:spacing w:line="360" w:lineRule="auto"/>
        <w:rPr>
          <w:rFonts w:ascii="Arial" w:hAnsi="Arial" w:cs="Arial"/>
          <w:b/>
        </w:rPr>
      </w:pPr>
      <w:r w:rsidRPr="00533E92">
        <w:rPr>
          <w:rFonts w:ascii="Arial" w:hAnsi="Arial" w:cs="Arial"/>
          <w:b/>
        </w:rPr>
        <w:t>University of Sussex Regulation 28 – The Library</w:t>
      </w:r>
      <w:r w:rsidR="00066740">
        <w:rPr>
          <w:rFonts w:ascii="Arial" w:hAnsi="Arial" w:cs="Arial"/>
          <w:b/>
        </w:rPr>
        <w:br/>
        <w:t>____________________________________________________________________________</w:t>
      </w:r>
    </w:p>
    <w:p w14:paraId="6024C9D9" w14:textId="77777777" w:rsidR="00533E92" w:rsidRDefault="00533E92" w:rsidP="000273AF">
      <w:pPr>
        <w:spacing w:line="360" w:lineRule="auto"/>
        <w:rPr>
          <w:rFonts w:ascii="Arial" w:hAnsi="Arial" w:cs="Arial"/>
        </w:rPr>
      </w:pPr>
    </w:p>
    <w:p w14:paraId="7E607101" w14:textId="77777777" w:rsidR="00533E92" w:rsidRPr="00533E92" w:rsidRDefault="00533E92" w:rsidP="000273AF">
      <w:pPr>
        <w:spacing w:line="360" w:lineRule="auto"/>
        <w:rPr>
          <w:rFonts w:ascii="Arial" w:hAnsi="Arial" w:cs="Arial"/>
          <w:b/>
        </w:rPr>
      </w:pPr>
      <w:r w:rsidRPr="00533E92">
        <w:rPr>
          <w:rFonts w:ascii="Arial" w:hAnsi="Arial" w:cs="Arial"/>
          <w:b/>
        </w:rPr>
        <w:t>1. Interpretation</w:t>
      </w:r>
    </w:p>
    <w:p w14:paraId="54DC3823" w14:textId="77777777" w:rsidR="00533E92" w:rsidRPr="00533E92" w:rsidRDefault="00533E92" w:rsidP="000273AF">
      <w:pPr>
        <w:spacing w:line="360" w:lineRule="auto"/>
        <w:rPr>
          <w:rFonts w:ascii="Arial" w:hAnsi="Arial" w:cs="Arial"/>
          <w:b/>
        </w:rPr>
      </w:pPr>
    </w:p>
    <w:p w14:paraId="1F626B76" w14:textId="77777777" w:rsidR="00533E92" w:rsidRPr="00533E92" w:rsidRDefault="00533E92" w:rsidP="000273AF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In this Regulation – </w:t>
      </w:r>
    </w:p>
    <w:p w14:paraId="1DC1520E" w14:textId="77777777" w:rsidR="00533E92" w:rsidRPr="00533E92" w:rsidRDefault="00533E92" w:rsidP="000273A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“Code of Conduct” has the meaning given in regulation 5;</w:t>
      </w:r>
    </w:p>
    <w:p w14:paraId="1C75A1CE" w14:textId="77777777" w:rsidR="00533E92" w:rsidRPr="00533E92" w:rsidRDefault="00533E92" w:rsidP="000273A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“the Librarian” means the person employed by the University as Director of Library Services;</w:t>
      </w:r>
    </w:p>
    <w:p w14:paraId="67CD1095" w14:textId="72D75F42" w:rsidR="00533E92" w:rsidRPr="00533E92" w:rsidRDefault="00533E92" w:rsidP="000273A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“the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ibrary” means: the University buildings that house the University’s library collections; its contents; all library collections and holdings (in whatever format); and “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 property” shall be construed accordingly;</w:t>
      </w:r>
    </w:p>
    <w:p w14:paraId="41021F89" w14:textId="647F0CA2" w:rsidR="00533E92" w:rsidRPr="00533E92" w:rsidRDefault="00533E92" w:rsidP="000273A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“Members of 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ibrary” has the meaning given in regulation 2 and “member” and  “membership” shall be construed accordingly;</w:t>
      </w:r>
    </w:p>
    <w:p w14:paraId="0980AAD5" w14:textId="11CE6226" w:rsidR="00533E92" w:rsidRPr="00533E92" w:rsidRDefault="00533E92" w:rsidP="000273A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“Terms of </w:t>
      </w:r>
      <w:r w:rsidR="0053527D">
        <w:rPr>
          <w:rFonts w:ascii="Arial" w:hAnsi="Arial" w:cs="Arial"/>
        </w:rPr>
        <w:t>u</w:t>
      </w:r>
      <w:r w:rsidRPr="00533E92">
        <w:rPr>
          <w:rFonts w:ascii="Arial" w:hAnsi="Arial" w:cs="Arial"/>
        </w:rPr>
        <w:t xml:space="preserve">se of 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ibrary” has the meaning given in regulation 3;</w:t>
      </w:r>
    </w:p>
    <w:p w14:paraId="28265B9D" w14:textId="77777777" w:rsidR="00533E92" w:rsidRPr="00533E92" w:rsidRDefault="00533E92" w:rsidP="000273A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“Visitor membership” has the meaning given in regulation 2 and “visitor” shall be construed accordingly;</w:t>
      </w:r>
    </w:p>
    <w:p w14:paraId="62954C48" w14:textId="77777777" w:rsidR="00533E92" w:rsidRPr="00533E92" w:rsidRDefault="00533E92" w:rsidP="000273A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“Writing” includes email.</w:t>
      </w:r>
    </w:p>
    <w:p w14:paraId="149C537B" w14:textId="77777777" w:rsidR="00533E92" w:rsidRPr="00533E92" w:rsidRDefault="00533E92" w:rsidP="000273AF">
      <w:pPr>
        <w:spacing w:line="360" w:lineRule="auto"/>
        <w:rPr>
          <w:rFonts w:ascii="Arial" w:hAnsi="Arial" w:cs="Arial"/>
          <w:b/>
        </w:rPr>
      </w:pPr>
    </w:p>
    <w:p w14:paraId="4C3B49AF" w14:textId="77777777" w:rsidR="00533E92" w:rsidRPr="00533E92" w:rsidRDefault="00533E92" w:rsidP="000273AF">
      <w:pPr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533E92">
        <w:rPr>
          <w:rFonts w:ascii="Arial" w:hAnsi="Arial" w:cs="Arial"/>
          <w:b/>
        </w:rPr>
        <w:t>Membership</w:t>
      </w:r>
    </w:p>
    <w:p w14:paraId="19869AAA" w14:textId="77777777" w:rsidR="00533E92" w:rsidRPr="00533E92" w:rsidRDefault="00533E92" w:rsidP="000273AF">
      <w:pPr>
        <w:spacing w:line="360" w:lineRule="auto"/>
        <w:rPr>
          <w:rFonts w:ascii="Arial" w:hAnsi="Arial" w:cs="Arial"/>
          <w:b/>
        </w:rPr>
      </w:pPr>
    </w:p>
    <w:p w14:paraId="5BE8284C" w14:textId="26BE3593" w:rsidR="00533E92" w:rsidRPr="00533E92" w:rsidRDefault="00533E92" w:rsidP="000273AF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The following persons are members of 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 –</w:t>
      </w:r>
    </w:p>
    <w:p w14:paraId="745EE2D1" w14:textId="77777777" w:rsidR="00533E92" w:rsidRPr="00533E92" w:rsidRDefault="00533E92" w:rsidP="000273AF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current employees of the University; </w:t>
      </w:r>
    </w:p>
    <w:p w14:paraId="77306BC0" w14:textId="77777777" w:rsidR="00533E92" w:rsidRPr="00533E92" w:rsidRDefault="00533E92" w:rsidP="000273AF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 students currently registered at the University;</w:t>
      </w:r>
    </w:p>
    <w:p w14:paraId="17A2A076" w14:textId="04A16587" w:rsidR="00533E92" w:rsidRPr="00533E92" w:rsidRDefault="00533E92" w:rsidP="000273AF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Staff and students who are awarded affiliate membership by reason of the Universities relationship with a Partner and in accordance with the terms of the relevant Partnership Agreement</w:t>
      </w:r>
      <w:r w:rsidR="000273AF">
        <w:rPr>
          <w:rFonts w:ascii="Arial" w:hAnsi="Arial" w:cs="Arial"/>
        </w:rPr>
        <w:br/>
      </w:r>
    </w:p>
    <w:p w14:paraId="54F27E25" w14:textId="7D55E38B" w:rsidR="00533E92" w:rsidRPr="00533E92" w:rsidRDefault="00533E92" w:rsidP="000273AF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Persons who are not members by virtue of paragraph (1) may apply for visitor membership.</w:t>
      </w:r>
      <w:r w:rsidR="000273AF">
        <w:rPr>
          <w:rFonts w:ascii="Arial" w:hAnsi="Arial" w:cs="Arial"/>
        </w:rPr>
        <w:br/>
      </w:r>
    </w:p>
    <w:p w14:paraId="75DE42E1" w14:textId="77777777" w:rsidR="00533E92" w:rsidRPr="00533E92" w:rsidRDefault="00533E92" w:rsidP="000273AF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Visitor membership may comprise –</w:t>
      </w:r>
    </w:p>
    <w:p w14:paraId="6AB8B217" w14:textId="77777777" w:rsidR="00533E92" w:rsidRPr="00533E92" w:rsidRDefault="00533E92" w:rsidP="000273AF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annual reference only; or</w:t>
      </w:r>
    </w:p>
    <w:p w14:paraId="4A94FC0A" w14:textId="70CB7C1B" w:rsidR="00533E92" w:rsidRPr="00533E92" w:rsidRDefault="00533E92" w:rsidP="000273AF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annual reference with borrowing.</w:t>
      </w:r>
      <w:r w:rsidR="000273AF">
        <w:rPr>
          <w:rFonts w:ascii="Arial" w:hAnsi="Arial" w:cs="Arial"/>
        </w:rPr>
        <w:br/>
      </w:r>
    </w:p>
    <w:p w14:paraId="5095E3BF" w14:textId="77777777" w:rsidR="00533E92" w:rsidRPr="00533E92" w:rsidRDefault="00533E92" w:rsidP="000273AF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The Librarian may levy a fee for membership under paragraph (3)(b), the rate of which shall be determined by the Librarian at the beginning of the academic year in which the membership commences.  </w:t>
      </w:r>
    </w:p>
    <w:p w14:paraId="214F079B" w14:textId="77777777" w:rsidR="00533E92" w:rsidRPr="00533E92" w:rsidRDefault="00533E92" w:rsidP="000273AF">
      <w:pPr>
        <w:spacing w:line="360" w:lineRule="auto"/>
        <w:rPr>
          <w:rFonts w:ascii="Arial" w:hAnsi="Arial" w:cs="Arial"/>
          <w:b/>
        </w:rPr>
      </w:pPr>
    </w:p>
    <w:p w14:paraId="6FE38A64" w14:textId="1CE989D1" w:rsidR="00533E92" w:rsidRPr="00533E92" w:rsidRDefault="00533E92" w:rsidP="000273AF">
      <w:pPr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533E92">
        <w:rPr>
          <w:rFonts w:ascii="Arial" w:hAnsi="Arial" w:cs="Arial"/>
          <w:b/>
        </w:rPr>
        <w:t xml:space="preserve">Terms of </w:t>
      </w:r>
      <w:r w:rsidR="0053527D">
        <w:rPr>
          <w:rFonts w:ascii="Arial" w:hAnsi="Arial" w:cs="Arial"/>
          <w:b/>
        </w:rPr>
        <w:t>u</w:t>
      </w:r>
      <w:r w:rsidRPr="00533E92">
        <w:rPr>
          <w:rFonts w:ascii="Arial" w:hAnsi="Arial" w:cs="Arial"/>
          <w:b/>
        </w:rPr>
        <w:t xml:space="preserve">se of the </w:t>
      </w:r>
      <w:r w:rsidR="0053527D">
        <w:rPr>
          <w:rFonts w:ascii="Arial" w:hAnsi="Arial" w:cs="Arial"/>
          <w:b/>
        </w:rPr>
        <w:t>l</w:t>
      </w:r>
      <w:r w:rsidRPr="00533E92">
        <w:rPr>
          <w:rFonts w:ascii="Arial" w:hAnsi="Arial" w:cs="Arial"/>
          <w:b/>
        </w:rPr>
        <w:t>ibrary</w:t>
      </w:r>
    </w:p>
    <w:p w14:paraId="07410A4E" w14:textId="77777777" w:rsidR="00533E92" w:rsidRPr="00533E92" w:rsidRDefault="00533E92" w:rsidP="000273AF">
      <w:pPr>
        <w:spacing w:line="360" w:lineRule="auto"/>
        <w:rPr>
          <w:rFonts w:ascii="Arial" w:hAnsi="Arial" w:cs="Arial"/>
          <w:b/>
        </w:rPr>
      </w:pPr>
    </w:p>
    <w:p w14:paraId="6534FC12" w14:textId="6E98A4F7" w:rsidR="00533E92" w:rsidRPr="00533E92" w:rsidRDefault="00533E92" w:rsidP="000273AF">
      <w:p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(1) The Terms of </w:t>
      </w:r>
      <w:r w:rsidR="0053527D">
        <w:rPr>
          <w:rFonts w:ascii="Arial" w:hAnsi="Arial" w:cs="Arial"/>
        </w:rPr>
        <w:t>u</w:t>
      </w:r>
      <w:r w:rsidRPr="00533E92">
        <w:rPr>
          <w:rFonts w:ascii="Arial" w:hAnsi="Arial" w:cs="Arial"/>
        </w:rPr>
        <w:t xml:space="preserve">se of 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 xml:space="preserve">ibrary are that all persons admitted to 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 agree –</w:t>
      </w:r>
    </w:p>
    <w:p w14:paraId="3CB71F0C" w14:textId="47006B05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(a) not to damage, mark or deface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 xml:space="preserve">ibrary property; </w:t>
      </w:r>
    </w:p>
    <w:p w14:paraId="582EE766" w14:textId="77777777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>(b) to comply with applicable copyright law and licences;</w:t>
      </w:r>
    </w:p>
    <w:p w14:paraId="1A701E4E" w14:textId="2123098B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>(</w:t>
      </w:r>
      <w:r w:rsidR="000273AF">
        <w:rPr>
          <w:rFonts w:ascii="Arial" w:hAnsi="Arial" w:cs="Arial"/>
        </w:rPr>
        <w:t>c</w:t>
      </w:r>
      <w:r w:rsidRPr="00533E92">
        <w:rPr>
          <w:rFonts w:ascii="Arial" w:hAnsi="Arial" w:cs="Arial"/>
        </w:rPr>
        <w:t>) to adhere to the terms of this Regulation; and</w:t>
      </w:r>
    </w:p>
    <w:p w14:paraId="5A475F8A" w14:textId="0CFDF6B0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>(</w:t>
      </w:r>
      <w:r w:rsidR="000273AF">
        <w:rPr>
          <w:rFonts w:ascii="Arial" w:hAnsi="Arial" w:cs="Arial"/>
        </w:rPr>
        <w:t>d</w:t>
      </w:r>
      <w:r w:rsidRPr="00533E92">
        <w:rPr>
          <w:rFonts w:ascii="Arial" w:hAnsi="Arial" w:cs="Arial"/>
        </w:rPr>
        <w:t>) to abide by the Code of Conduct established by Librarian pursuant to regulation 5.</w:t>
      </w:r>
      <w:r w:rsidR="000273AF">
        <w:rPr>
          <w:rFonts w:ascii="Arial" w:hAnsi="Arial" w:cs="Arial"/>
        </w:rPr>
        <w:br/>
      </w:r>
    </w:p>
    <w:p w14:paraId="026F5250" w14:textId="40094EE2" w:rsidR="000273AF" w:rsidRDefault="00533E92" w:rsidP="000273AF">
      <w:p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(2) Breach of the </w:t>
      </w:r>
      <w:r w:rsidR="0053527D">
        <w:rPr>
          <w:rFonts w:ascii="Arial" w:hAnsi="Arial" w:cs="Arial"/>
        </w:rPr>
        <w:t>t</w:t>
      </w:r>
      <w:r w:rsidRPr="00533E92">
        <w:rPr>
          <w:rFonts w:ascii="Arial" w:hAnsi="Arial" w:cs="Arial"/>
        </w:rPr>
        <w:t xml:space="preserve">erms of </w:t>
      </w:r>
      <w:r w:rsidR="0053527D">
        <w:rPr>
          <w:rFonts w:ascii="Arial" w:hAnsi="Arial" w:cs="Arial"/>
        </w:rPr>
        <w:t>u</w:t>
      </w:r>
      <w:r w:rsidRPr="00533E92">
        <w:rPr>
          <w:rFonts w:ascii="Arial" w:hAnsi="Arial" w:cs="Arial"/>
        </w:rPr>
        <w:t xml:space="preserve">se of 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 xml:space="preserve">ibrary may result in the imposition of a sanction </w:t>
      </w:r>
    </w:p>
    <w:p w14:paraId="7F291CBA" w14:textId="05ED7A09" w:rsidR="00533E92" w:rsidRPr="00533E92" w:rsidRDefault="00533E92" w:rsidP="000273AF">
      <w:p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pursuant to regulation 4.</w:t>
      </w:r>
      <w:r w:rsidR="000273AF">
        <w:rPr>
          <w:rFonts w:ascii="Arial" w:hAnsi="Arial" w:cs="Arial"/>
        </w:rPr>
        <w:br/>
      </w:r>
    </w:p>
    <w:p w14:paraId="6740057A" w14:textId="6E85680D" w:rsidR="00533E92" w:rsidRPr="00533E92" w:rsidRDefault="00533E92" w:rsidP="000273AF">
      <w:p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(3) In the case of members of 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 xml:space="preserve">ibrary, if the Librarian considers the breach of the </w:t>
      </w:r>
      <w:r w:rsidR="0053527D">
        <w:rPr>
          <w:rFonts w:ascii="Arial" w:hAnsi="Arial" w:cs="Arial"/>
        </w:rPr>
        <w:t>t</w:t>
      </w:r>
      <w:r w:rsidRPr="00533E92">
        <w:rPr>
          <w:rFonts w:ascii="Arial" w:hAnsi="Arial" w:cs="Arial"/>
        </w:rPr>
        <w:t xml:space="preserve">erms of </w:t>
      </w:r>
      <w:r w:rsidR="0053527D">
        <w:rPr>
          <w:rFonts w:ascii="Arial" w:hAnsi="Arial" w:cs="Arial"/>
        </w:rPr>
        <w:t>u</w:t>
      </w:r>
      <w:r w:rsidRPr="00533E92">
        <w:rPr>
          <w:rFonts w:ascii="Arial" w:hAnsi="Arial" w:cs="Arial"/>
        </w:rPr>
        <w:t xml:space="preserve">se to be sufficiently serious, the Librarian may refer the matter to the appropriate person for formal disciplinary action pursuant to -   </w:t>
      </w:r>
    </w:p>
    <w:p w14:paraId="1E1F078B" w14:textId="77777777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(a) in the case of employees of the University, Regulation 31 (Disciplinary Procedure); </w:t>
      </w:r>
    </w:p>
    <w:p w14:paraId="27711A64" w14:textId="77777777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>(b) in the case of students of the University, Regulation 2 (Student Discipline);</w:t>
      </w:r>
    </w:p>
    <w:p w14:paraId="50D0B90D" w14:textId="62BB816A" w:rsidR="000273AF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(c) </w:t>
      </w:r>
      <w:r w:rsidRPr="00533E92" w:rsidDel="001F20E0">
        <w:rPr>
          <w:rFonts w:ascii="Arial" w:hAnsi="Arial" w:cs="Arial"/>
        </w:rPr>
        <w:t xml:space="preserve"> </w:t>
      </w:r>
      <w:r w:rsidRPr="00533E92">
        <w:rPr>
          <w:rFonts w:ascii="Arial" w:hAnsi="Arial" w:cs="Arial"/>
        </w:rPr>
        <w:t>in the case of affiliate members, the terms expressed in the Partnership Agreement.</w:t>
      </w:r>
      <w:r w:rsidR="000273AF">
        <w:rPr>
          <w:rFonts w:ascii="Arial" w:hAnsi="Arial" w:cs="Arial"/>
        </w:rPr>
        <w:br/>
      </w:r>
    </w:p>
    <w:p w14:paraId="649A627D" w14:textId="0244FC8A" w:rsidR="000273AF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(4) Anyone suspected of damaging or stealing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 property may be subject to criminal</w:t>
      </w:r>
    </w:p>
    <w:p w14:paraId="390E3F54" w14:textId="1DB48CC4" w:rsidR="00533E92" w:rsidRPr="00533E92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>prosecution.</w:t>
      </w:r>
      <w:r w:rsidR="000273AF">
        <w:rPr>
          <w:rFonts w:ascii="Arial" w:hAnsi="Arial" w:cs="Arial"/>
        </w:rPr>
        <w:br/>
      </w:r>
    </w:p>
    <w:p w14:paraId="72A03A8D" w14:textId="77777777" w:rsidR="00533E92" w:rsidRPr="00533E92" w:rsidRDefault="00533E92" w:rsidP="000273AF">
      <w:p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(5) In paragraph (3) “the appropriate person” means in the case of –</w:t>
      </w:r>
    </w:p>
    <w:p w14:paraId="07F3268B" w14:textId="77777777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(a) employees, the employee’s Line Manager; </w:t>
      </w:r>
    </w:p>
    <w:p w14:paraId="161A4497" w14:textId="77777777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>(b) students, the student’s Head of School;</w:t>
      </w:r>
    </w:p>
    <w:p w14:paraId="08C62123" w14:textId="7F23C9AD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>(c) affiliate members, the Partner’s lead relationship co-ordinator.</w:t>
      </w:r>
    </w:p>
    <w:p w14:paraId="33F1EBBF" w14:textId="77777777" w:rsidR="00533E92" w:rsidRPr="00533E92" w:rsidRDefault="00533E92" w:rsidP="000273AF">
      <w:pPr>
        <w:spacing w:line="360" w:lineRule="auto"/>
        <w:rPr>
          <w:rFonts w:ascii="Arial" w:hAnsi="Arial" w:cs="Arial"/>
        </w:rPr>
      </w:pPr>
    </w:p>
    <w:p w14:paraId="62EDC26B" w14:textId="26EE53AE" w:rsidR="00533E92" w:rsidRPr="00533E92" w:rsidRDefault="00533E92" w:rsidP="000273AF">
      <w:p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(6) The Librarian may delegate the powers under paragraph (3) to a nominated member of 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 staff.</w:t>
      </w:r>
    </w:p>
    <w:p w14:paraId="56488060" w14:textId="77777777" w:rsidR="00533E92" w:rsidRPr="00533E92" w:rsidRDefault="00533E92" w:rsidP="000273AF">
      <w:pPr>
        <w:spacing w:line="360" w:lineRule="auto"/>
        <w:rPr>
          <w:rFonts w:ascii="Arial" w:hAnsi="Arial" w:cs="Arial"/>
          <w:b/>
        </w:rPr>
      </w:pPr>
    </w:p>
    <w:p w14:paraId="3671C63B" w14:textId="77777777" w:rsidR="00533E92" w:rsidRPr="00533E92" w:rsidRDefault="00533E92" w:rsidP="000273AF">
      <w:pPr>
        <w:spacing w:line="360" w:lineRule="auto"/>
        <w:rPr>
          <w:rFonts w:ascii="Arial" w:hAnsi="Arial" w:cs="Arial"/>
          <w:b/>
        </w:rPr>
      </w:pPr>
      <w:r w:rsidRPr="00533E92">
        <w:rPr>
          <w:rFonts w:ascii="Arial" w:hAnsi="Arial" w:cs="Arial"/>
          <w:b/>
        </w:rPr>
        <w:t>4.</w:t>
      </w:r>
      <w:r w:rsidRPr="00533E92">
        <w:rPr>
          <w:rFonts w:ascii="Arial" w:hAnsi="Arial" w:cs="Arial"/>
          <w:b/>
        </w:rPr>
        <w:tab/>
        <w:t>Sanctions imposed by the Librarian and appeal</w:t>
      </w:r>
    </w:p>
    <w:p w14:paraId="45CE99BA" w14:textId="77777777" w:rsidR="00533E92" w:rsidRPr="00533E92" w:rsidRDefault="00533E92" w:rsidP="000273AF">
      <w:pPr>
        <w:spacing w:line="360" w:lineRule="auto"/>
        <w:rPr>
          <w:rFonts w:ascii="Arial" w:hAnsi="Arial" w:cs="Arial"/>
          <w:b/>
        </w:rPr>
      </w:pPr>
    </w:p>
    <w:p w14:paraId="21EC5BAC" w14:textId="3DA407E1" w:rsidR="00533E92" w:rsidRPr="00533E92" w:rsidRDefault="00533E92" w:rsidP="000273AF">
      <w:p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(1)</w:t>
      </w:r>
      <w:r w:rsidR="000273AF">
        <w:rPr>
          <w:rFonts w:ascii="Arial" w:hAnsi="Arial" w:cs="Arial"/>
        </w:rPr>
        <w:t xml:space="preserve"> </w:t>
      </w:r>
      <w:r w:rsidRPr="00533E92">
        <w:rPr>
          <w:rFonts w:ascii="Arial" w:hAnsi="Arial" w:cs="Arial"/>
        </w:rPr>
        <w:t xml:space="preserve">Sanctions that the Librarian may impose for breach of the </w:t>
      </w:r>
      <w:r w:rsidR="0053527D">
        <w:rPr>
          <w:rFonts w:ascii="Arial" w:hAnsi="Arial" w:cs="Arial"/>
        </w:rPr>
        <w:t>t</w:t>
      </w:r>
      <w:r w:rsidRPr="00533E92">
        <w:rPr>
          <w:rFonts w:ascii="Arial" w:hAnsi="Arial" w:cs="Arial"/>
        </w:rPr>
        <w:t xml:space="preserve">erms of </w:t>
      </w:r>
      <w:r w:rsidR="0053527D">
        <w:rPr>
          <w:rFonts w:ascii="Arial" w:hAnsi="Arial" w:cs="Arial"/>
        </w:rPr>
        <w:t>u</w:t>
      </w:r>
      <w:r w:rsidRPr="00533E92">
        <w:rPr>
          <w:rFonts w:ascii="Arial" w:hAnsi="Arial" w:cs="Arial"/>
        </w:rPr>
        <w:t xml:space="preserve">se of 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 are</w:t>
      </w:r>
      <w:r w:rsidR="0053527D">
        <w:rPr>
          <w:rFonts w:ascii="Arial" w:hAnsi="Arial" w:cs="Arial"/>
        </w:rPr>
        <w:t>:</w:t>
      </w:r>
    </w:p>
    <w:p w14:paraId="0385ACEE" w14:textId="1B8856F3" w:rsidR="00533E92" w:rsidRPr="00533E92" w:rsidRDefault="00533E92" w:rsidP="000273AF">
      <w:pPr>
        <w:spacing w:line="360" w:lineRule="auto"/>
        <w:ind w:left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(a) require a member or visitor to leave 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 immediately and not return before the expiration of up to 48 hours (the precise term to be decided by the Librarian);</w:t>
      </w:r>
    </w:p>
    <w:p w14:paraId="3A47D8F7" w14:textId="77777777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(b) suspend a member’s or visitor’s membership for a period not longer than six months; </w:t>
      </w:r>
    </w:p>
    <w:p w14:paraId="715B3F8A" w14:textId="4C58C3BA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>(c) withdraw a member’s or visitor’s membership;</w:t>
      </w:r>
    </w:p>
    <w:p w14:paraId="54A179BB" w14:textId="77777777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>(d) require payment to cover the cost of replacing damaged items (“replacement cost”);</w:t>
      </w:r>
    </w:p>
    <w:p w14:paraId="51C7EAA7" w14:textId="77777777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lastRenderedPageBreak/>
        <w:t>(e) impose an administrative charge in addition to any replacement cost; or</w:t>
      </w:r>
    </w:p>
    <w:p w14:paraId="7D81DBD6" w14:textId="04598F70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>(f) combine any of the sanctions in sub-paragraphs (b) to (e).</w:t>
      </w:r>
      <w:r w:rsidR="000273AF">
        <w:rPr>
          <w:rFonts w:ascii="Arial" w:hAnsi="Arial" w:cs="Arial"/>
        </w:rPr>
        <w:br/>
      </w:r>
    </w:p>
    <w:p w14:paraId="3A49A355" w14:textId="39008872" w:rsidR="000273AF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(2) The Librarian may authorise any member of 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 staff to exercise the power</w:t>
      </w:r>
    </w:p>
    <w:p w14:paraId="79DB9268" w14:textId="5677501F" w:rsidR="00533E92" w:rsidRPr="00533E92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>described in paragraph (1)(a).</w:t>
      </w:r>
      <w:r w:rsidR="000273AF">
        <w:rPr>
          <w:rFonts w:ascii="Arial" w:hAnsi="Arial" w:cs="Arial"/>
        </w:rPr>
        <w:br/>
      </w:r>
    </w:p>
    <w:p w14:paraId="1653EDDC" w14:textId="77777777" w:rsidR="000273AF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>(3)</w:t>
      </w:r>
      <w:r w:rsidR="000273AF">
        <w:rPr>
          <w:rFonts w:ascii="Arial" w:hAnsi="Arial" w:cs="Arial"/>
        </w:rPr>
        <w:t xml:space="preserve"> </w:t>
      </w:r>
      <w:r w:rsidRPr="00533E92">
        <w:rPr>
          <w:rFonts w:ascii="Arial" w:hAnsi="Arial" w:cs="Arial"/>
        </w:rPr>
        <w:t>The Librarian may delegate the powers in paragraph (1)(b) to (f) to a nominated member of</w:t>
      </w:r>
    </w:p>
    <w:p w14:paraId="778C8EBF" w14:textId="0320D75A" w:rsidR="00533E92" w:rsidRPr="00533E92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 staff.</w:t>
      </w:r>
      <w:r w:rsidR="000273AF">
        <w:rPr>
          <w:rFonts w:ascii="Arial" w:hAnsi="Arial" w:cs="Arial"/>
        </w:rPr>
        <w:br/>
      </w:r>
    </w:p>
    <w:p w14:paraId="35F2D963" w14:textId="77777777" w:rsidR="000273AF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>(4)</w:t>
      </w:r>
      <w:r w:rsidR="000273AF">
        <w:rPr>
          <w:rFonts w:ascii="Arial" w:hAnsi="Arial" w:cs="Arial"/>
        </w:rPr>
        <w:t xml:space="preserve"> </w:t>
      </w:r>
      <w:r w:rsidRPr="00533E92">
        <w:rPr>
          <w:rFonts w:ascii="Arial" w:hAnsi="Arial" w:cs="Arial"/>
        </w:rPr>
        <w:t>The Librarian must cause the member or visitor to be notified in writing of the sanction</w:t>
      </w:r>
      <w:r w:rsidR="000273AF">
        <w:rPr>
          <w:rFonts w:ascii="Arial" w:hAnsi="Arial" w:cs="Arial"/>
        </w:rPr>
        <w:t xml:space="preserve"> </w:t>
      </w:r>
    </w:p>
    <w:p w14:paraId="664D3609" w14:textId="6B7D0342" w:rsidR="00533E92" w:rsidRPr="00533E92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>imposed under paragraph (1)(b) to (f) within five days of its imposition (“the notification”).</w:t>
      </w:r>
      <w:r w:rsidR="000273AF">
        <w:rPr>
          <w:rFonts w:ascii="Arial" w:hAnsi="Arial" w:cs="Arial"/>
        </w:rPr>
        <w:br/>
      </w:r>
    </w:p>
    <w:p w14:paraId="625672BF" w14:textId="77777777" w:rsidR="000273AF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>(5)  A member or visitor may appeal to the Chief Operating Officer against the imposition of a</w:t>
      </w:r>
    </w:p>
    <w:p w14:paraId="3B1EF2D4" w14:textId="3AE79BF2" w:rsidR="00533E92" w:rsidRPr="00533E92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sanction in paragraph (1)(b) to (f) by the Librarian. </w:t>
      </w:r>
      <w:r w:rsidR="000273AF">
        <w:rPr>
          <w:rFonts w:ascii="Arial" w:hAnsi="Arial" w:cs="Arial"/>
        </w:rPr>
        <w:br/>
      </w:r>
    </w:p>
    <w:p w14:paraId="4118DD44" w14:textId="77777777" w:rsidR="000273AF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>(6) An appeal made pursuant to paragraph (5) must be in writing (“notice of appeal”), and</w:t>
      </w:r>
    </w:p>
    <w:p w14:paraId="2D5676A6" w14:textId="4C8FBB7F" w:rsidR="00533E92" w:rsidRPr="00533E92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>received by the Chief Operating Officer within 14 days of the date of the notification.</w:t>
      </w:r>
      <w:r w:rsidR="000273AF">
        <w:rPr>
          <w:rFonts w:ascii="Arial" w:hAnsi="Arial" w:cs="Arial"/>
        </w:rPr>
        <w:br/>
      </w:r>
    </w:p>
    <w:p w14:paraId="5F6FBCB4" w14:textId="2D9B8B01" w:rsidR="000273AF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>(7)</w:t>
      </w:r>
      <w:r w:rsidR="000273AF">
        <w:rPr>
          <w:rFonts w:ascii="Arial" w:hAnsi="Arial" w:cs="Arial"/>
        </w:rPr>
        <w:t xml:space="preserve"> </w:t>
      </w:r>
      <w:r w:rsidRPr="00533E92">
        <w:rPr>
          <w:rFonts w:ascii="Arial" w:hAnsi="Arial" w:cs="Arial"/>
        </w:rPr>
        <w:t xml:space="preserve">The Chief Operating Officer may request information about the breach of </w:t>
      </w:r>
      <w:r w:rsidR="0053527D">
        <w:rPr>
          <w:rFonts w:ascii="Arial" w:hAnsi="Arial" w:cs="Arial"/>
        </w:rPr>
        <w:t>t</w:t>
      </w:r>
      <w:r w:rsidRPr="00533E92">
        <w:rPr>
          <w:rFonts w:ascii="Arial" w:hAnsi="Arial" w:cs="Arial"/>
        </w:rPr>
        <w:t xml:space="preserve">erms of </w:t>
      </w:r>
      <w:r w:rsidR="0053527D">
        <w:rPr>
          <w:rFonts w:ascii="Arial" w:hAnsi="Arial" w:cs="Arial"/>
        </w:rPr>
        <w:t>u</w:t>
      </w:r>
      <w:r w:rsidRPr="00533E92">
        <w:rPr>
          <w:rFonts w:ascii="Arial" w:hAnsi="Arial" w:cs="Arial"/>
        </w:rPr>
        <w:t>se by</w:t>
      </w:r>
    </w:p>
    <w:p w14:paraId="69128AA8" w14:textId="7FE06AD7" w:rsidR="00533E92" w:rsidRPr="00533E92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>the member or visitor from –</w:t>
      </w:r>
    </w:p>
    <w:p w14:paraId="075E2C65" w14:textId="77777777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>(a) the Librarian;</w:t>
      </w:r>
    </w:p>
    <w:p w14:paraId="42D9DE9B" w14:textId="77777777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(b) the member or visitor; </w:t>
      </w:r>
    </w:p>
    <w:p w14:paraId="3B3DB7D3" w14:textId="36EA0179" w:rsidR="00533E92" w:rsidRPr="00533E92" w:rsidRDefault="00533E92" w:rsidP="000273AF">
      <w:pPr>
        <w:spacing w:line="360" w:lineRule="auto"/>
        <w:ind w:left="720"/>
        <w:rPr>
          <w:rFonts w:ascii="Arial" w:hAnsi="Arial" w:cs="Arial"/>
        </w:rPr>
      </w:pPr>
      <w:r w:rsidRPr="00533E92">
        <w:rPr>
          <w:rFonts w:ascii="Arial" w:hAnsi="Arial" w:cs="Arial"/>
        </w:rPr>
        <w:t>(c) any other person whom the Chief Operating Officer reasonably believes will be able to provide relevant information about the breach.</w:t>
      </w:r>
      <w:r w:rsidR="000273AF">
        <w:rPr>
          <w:rFonts w:ascii="Arial" w:hAnsi="Arial" w:cs="Arial"/>
        </w:rPr>
        <w:br/>
      </w:r>
    </w:p>
    <w:p w14:paraId="2F486E35" w14:textId="77777777" w:rsidR="000273AF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>(8) The Chief Operating Officer will consider the appeal on the papers and decide on the</w:t>
      </w:r>
    </w:p>
    <w:p w14:paraId="49C1F97C" w14:textId="17D70786" w:rsidR="00533E92" w:rsidRPr="00533E92" w:rsidRDefault="00533E92" w:rsidP="000273AF">
      <w:pPr>
        <w:spacing w:line="360" w:lineRule="auto"/>
        <w:ind w:left="720" w:hanging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balance of probabilities whether to – </w:t>
      </w:r>
    </w:p>
    <w:p w14:paraId="318CF01A" w14:textId="77777777" w:rsidR="00533E92" w:rsidRPr="00533E92" w:rsidRDefault="00533E92" w:rsidP="000273AF">
      <w:pPr>
        <w:spacing w:line="360" w:lineRule="auto"/>
        <w:ind w:firstLine="72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(a) confirm or remove the sanction imposed by the Librarian; or </w:t>
      </w:r>
    </w:p>
    <w:p w14:paraId="06E3D80F" w14:textId="245B7854" w:rsidR="00533E92" w:rsidRPr="00533E92" w:rsidRDefault="00533E92" w:rsidP="000273AF">
      <w:pPr>
        <w:spacing w:line="360" w:lineRule="auto"/>
        <w:ind w:left="720"/>
        <w:rPr>
          <w:rFonts w:ascii="Arial" w:hAnsi="Arial" w:cs="Arial"/>
        </w:rPr>
      </w:pPr>
      <w:r w:rsidRPr="00533E92">
        <w:rPr>
          <w:rFonts w:ascii="Arial" w:hAnsi="Arial" w:cs="Arial"/>
        </w:rPr>
        <w:t>(b) substitute some other sanction that was available to the Librarian under this regulation.</w:t>
      </w:r>
      <w:r w:rsidR="000273AF">
        <w:rPr>
          <w:rFonts w:ascii="Arial" w:hAnsi="Arial" w:cs="Arial"/>
        </w:rPr>
        <w:br/>
      </w:r>
    </w:p>
    <w:p w14:paraId="6DE47D48" w14:textId="77777777" w:rsidR="00533E92" w:rsidRPr="00533E92" w:rsidRDefault="00533E92" w:rsidP="000273AF">
      <w:pPr>
        <w:spacing w:line="360" w:lineRule="auto"/>
        <w:ind w:left="360" w:hanging="360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(9) </w:t>
      </w:r>
      <w:r w:rsidRPr="00533E92">
        <w:rPr>
          <w:rFonts w:ascii="Arial" w:hAnsi="Arial" w:cs="Arial"/>
        </w:rPr>
        <w:tab/>
        <w:t>The Chief Operating Officer must decide the appeal within 21 days of receiving the notice of appeal and that decision shall be final.</w:t>
      </w:r>
    </w:p>
    <w:p w14:paraId="71A71815" w14:textId="142E7B1B" w:rsidR="00533E92" w:rsidRDefault="00533E92" w:rsidP="000273AF">
      <w:pPr>
        <w:spacing w:line="360" w:lineRule="auto"/>
        <w:rPr>
          <w:rFonts w:ascii="Arial" w:hAnsi="Arial" w:cs="Arial"/>
        </w:rPr>
      </w:pPr>
    </w:p>
    <w:p w14:paraId="56356E95" w14:textId="566AD18F" w:rsidR="00066740" w:rsidRDefault="0006674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F63AB5" w14:textId="77777777" w:rsidR="00B279D1" w:rsidRPr="00533E92" w:rsidRDefault="00B279D1" w:rsidP="000273AF">
      <w:pPr>
        <w:spacing w:line="360" w:lineRule="auto"/>
        <w:rPr>
          <w:rFonts w:ascii="Arial" w:hAnsi="Arial" w:cs="Arial"/>
        </w:rPr>
      </w:pPr>
    </w:p>
    <w:p w14:paraId="3253D13F" w14:textId="77777777" w:rsidR="00533E92" w:rsidRPr="00533E92" w:rsidRDefault="00533E92" w:rsidP="000273AF">
      <w:pPr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 w:rsidRPr="00533E92">
        <w:rPr>
          <w:rFonts w:ascii="Arial" w:hAnsi="Arial" w:cs="Arial"/>
          <w:b/>
        </w:rPr>
        <w:t xml:space="preserve">Code of Conduct </w:t>
      </w:r>
    </w:p>
    <w:p w14:paraId="548F1BDA" w14:textId="77777777" w:rsidR="00533E92" w:rsidRPr="00533E92" w:rsidRDefault="00533E92" w:rsidP="000273AF">
      <w:pPr>
        <w:spacing w:line="360" w:lineRule="auto"/>
        <w:rPr>
          <w:rFonts w:ascii="Arial" w:hAnsi="Arial" w:cs="Arial"/>
          <w:b/>
        </w:rPr>
      </w:pPr>
    </w:p>
    <w:p w14:paraId="112C5C5B" w14:textId="336DA384" w:rsidR="00533E92" w:rsidRPr="00533E92" w:rsidRDefault="00533E92" w:rsidP="000273AF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The Librarian may issue a Code of Conduct that describes the appropriate use of, and required behaviour in, the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ibrary.</w:t>
      </w:r>
      <w:r w:rsidR="000273AF">
        <w:rPr>
          <w:rFonts w:ascii="Arial" w:hAnsi="Arial" w:cs="Arial"/>
        </w:rPr>
        <w:br/>
      </w:r>
    </w:p>
    <w:p w14:paraId="6DDFC095" w14:textId="77777777" w:rsidR="00533E92" w:rsidRPr="00533E92" w:rsidRDefault="00533E92" w:rsidP="000273AF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The Code of Conduct may describe matters including but not limited to -</w:t>
      </w:r>
    </w:p>
    <w:p w14:paraId="3BEC16CE" w14:textId="77777777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proof of age and identity;</w:t>
      </w:r>
    </w:p>
    <w:p w14:paraId="6B33AE48" w14:textId="3C7D3F3F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required use of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 identification (ID) cards;</w:t>
      </w:r>
    </w:p>
    <w:p w14:paraId="38B1EB01" w14:textId="77777777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member provision of contact information;</w:t>
      </w:r>
    </w:p>
    <w:p w14:paraId="1C91601B" w14:textId="77777777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use of mobile phones and other mobile devices;</w:t>
      </w:r>
    </w:p>
    <w:p w14:paraId="10209E04" w14:textId="77777777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consumption of food and drink;</w:t>
      </w:r>
    </w:p>
    <w:p w14:paraId="4E5AA764" w14:textId="77777777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expected behaviour;</w:t>
      </w:r>
    </w:p>
    <w:p w14:paraId="06D47A0E" w14:textId="77777777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room booking systems; </w:t>
      </w:r>
    </w:p>
    <w:p w14:paraId="205B0C95" w14:textId="3F25E00D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Health </w:t>
      </w:r>
      <w:r w:rsidR="0053527D">
        <w:rPr>
          <w:rFonts w:ascii="Arial" w:hAnsi="Arial" w:cs="Arial"/>
        </w:rPr>
        <w:t>and</w:t>
      </w:r>
      <w:r w:rsidRPr="00533E92">
        <w:rPr>
          <w:rFonts w:ascii="Arial" w:hAnsi="Arial" w:cs="Arial"/>
        </w:rPr>
        <w:t xml:space="preserve"> Safety requirements;</w:t>
      </w:r>
    </w:p>
    <w:p w14:paraId="5FFE6B05" w14:textId="77777777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photography and recording;</w:t>
      </w:r>
    </w:p>
    <w:p w14:paraId="3E5C962D" w14:textId="49DF534A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loan and renewal of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 property;</w:t>
      </w:r>
    </w:p>
    <w:p w14:paraId="00FA23C1" w14:textId="4D566EAC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 xml:space="preserve">applicable </w:t>
      </w:r>
      <w:r w:rsidR="0053527D">
        <w:rPr>
          <w:rFonts w:ascii="Arial" w:hAnsi="Arial" w:cs="Arial"/>
        </w:rPr>
        <w:t>l</w:t>
      </w:r>
      <w:r w:rsidRPr="00533E92">
        <w:rPr>
          <w:rFonts w:ascii="Arial" w:hAnsi="Arial" w:cs="Arial"/>
        </w:rPr>
        <w:t>ibrary charges;</w:t>
      </w:r>
    </w:p>
    <w:p w14:paraId="173A49B4" w14:textId="77777777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use of audio-visual material;</w:t>
      </w:r>
    </w:p>
    <w:p w14:paraId="322A46C6" w14:textId="77777777" w:rsidR="00533E92" w:rsidRPr="00533E92" w:rsidRDefault="00533E92" w:rsidP="000273AF">
      <w:pPr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533E92">
        <w:rPr>
          <w:rFonts w:ascii="Arial" w:hAnsi="Arial" w:cs="Arial"/>
        </w:rPr>
        <w:t>applicable copyright law, permissions and licences.</w:t>
      </w:r>
    </w:p>
    <w:p w14:paraId="7DEBB29C" w14:textId="77777777" w:rsidR="001C58E2" w:rsidRDefault="001C58E2" w:rsidP="00544602">
      <w:pPr>
        <w:spacing w:line="360" w:lineRule="auto"/>
        <w:rPr>
          <w:rFonts w:ascii="Arial" w:hAnsi="Arial" w:cs="Arial"/>
        </w:rPr>
      </w:pPr>
    </w:p>
    <w:p w14:paraId="58A43344" w14:textId="2E4F9BBC" w:rsidR="001C58E2" w:rsidRPr="001C58E2" w:rsidRDefault="001C58E2" w:rsidP="0053527D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4109"/>
      </w:tblGrid>
      <w:tr w:rsidR="001C58E2" w14:paraId="536AAC68" w14:textId="77777777" w:rsidTr="001C58E2">
        <w:trPr>
          <w:trHeight w:val="103"/>
          <w:jc w:val="center"/>
        </w:trPr>
        <w:tc>
          <w:tcPr>
            <w:tcW w:w="8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AF4B" w14:textId="77777777" w:rsidR="001C58E2" w:rsidRDefault="001C58E2" w:rsidP="0053527D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Review / Contacts / References</w:t>
            </w:r>
          </w:p>
        </w:tc>
      </w:tr>
      <w:tr w:rsidR="001C58E2" w14:paraId="6A837450" w14:textId="77777777" w:rsidTr="001C58E2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FBA8" w14:textId="58B6A722" w:rsidR="001C58E2" w:rsidRDefault="001C58E2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Title: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DFC2" w14:textId="77777777" w:rsidR="001C58E2" w:rsidRDefault="001C58E2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University of Sussex Regulation 28</w:t>
            </w:r>
          </w:p>
          <w:p w14:paraId="431728C2" w14:textId="0314DFC9" w:rsidR="001C58E2" w:rsidRDefault="001C58E2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The Library</w:t>
            </w:r>
          </w:p>
        </w:tc>
      </w:tr>
      <w:tr w:rsidR="001C58E2" w14:paraId="4860C92F" w14:textId="77777777" w:rsidTr="001C58E2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1919" w14:textId="77777777" w:rsidR="001C58E2" w:rsidRDefault="001C58E2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Date approved: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AD78" w14:textId="44F26A85" w:rsidR="001C58E2" w:rsidRDefault="001C58E2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07/11/19</w:t>
            </w:r>
          </w:p>
        </w:tc>
      </w:tr>
      <w:tr w:rsidR="001C58E2" w14:paraId="5B403428" w14:textId="77777777" w:rsidTr="001C58E2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DBD4" w14:textId="77777777" w:rsidR="001C58E2" w:rsidRDefault="001C58E2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Approving body: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1FFF" w14:textId="662F7041" w:rsidR="001C58E2" w:rsidRDefault="001C58E2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Senate</w:t>
            </w:r>
          </w:p>
        </w:tc>
      </w:tr>
      <w:tr w:rsidR="001C58E2" w14:paraId="0299383B" w14:textId="77777777" w:rsidTr="001C58E2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B70D" w14:textId="77777777" w:rsidR="001C58E2" w:rsidRDefault="001C58E2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Last review date: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435E" w14:textId="01C16F14" w:rsidR="001C58E2" w:rsidRDefault="004253F8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04/2023</w:t>
            </w:r>
          </w:p>
        </w:tc>
      </w:tr>
      <w:tr w:rsidR="001C58E2" w14:paraId="776EA599" w14:textId="77777777" w:rsidTr="001C58E2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E30F" w14:textId="77777777" w:rsidR="001C58E2" w:rsidRDefault="001C58E2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Revision history: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9610" w14:textId="74A10A6F" w:rsidR="001C58E2" w:rsidRDefault="000F1E24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06/2018</w:t>
            </w:r>
            <w:r w:rsidR="00E52EB3">
              <w:rPr>
                <w:rFonts w:ascii="Arial" w:hAnsi="Arial" w:cs="Arial"/>
                <w:color w:val="000000"/>
                <w:lang w:eastAsia="en-GB"/>
              </w:rPr>
              <w:t xml:space="preserve">, </w:t>
            </w:r>
            <w:r>
              <w:rPr>
                <w:rFonts w:ascii="Arial" w:hAnsi="Arial" w:cs="Arial"/>
                <w:color w:val="000000"/>
                <w:lang w:eastAsia="en-GB"/>
              </w:rPr>
              <w:t>07/2020, 07/2021</w:t>
            </w:r>
            <w:r w:rsidR="004253F8">
              <w:rPr>
                <w:rFonts w:ascii="Arial" w:hAnsi="Arial" w:cs="Arial"/>
                <w:color w:val="000000"/>
                <w:lang w:eastAsia="en-GB"/>
              </w:rPr>
              <w:t>, 04/2022</w:t>
            </w:r>
          </w:p>
        </w:tc>
      </w:tr>
      <w:tr w:rsidR="001C58E2" w14:paraId="3178B6B8" w14:textId="77777777" w:rsidTr="001C58E2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CADA" w14:textId="77777777" w:rsidR="001C58E2" w:rsidRDefault="001C58E2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Next review date: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F92A" w14:textId="6183D98B" w:rsidR="001C58E2" w:rsidRDefault="004253F8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04/2024</w:t>
            </w:r>
          </w:p>
        </w:tc>
      </w:tr>
      <w:tr w:rsidR="001C58E2" w14:paraId="2066739F" w14:textId="77777777" w:rsidTr="001C58E2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9159" w14:textId="77777777" w:rsidR="001C58E2" w:rsidRDefault="001C58E2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Related internal policies, procedures, guidance: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B7FF0" w14:textId="77777777" w:rsidR="001C58E2" w:rsidRPr="0053527D" w:rsidRDefault="00000000" w:rsidP="0053527D">
            <w:pPr>
              <w:rPr>
                <w:rStyle w:val="Hyperlink"/>
                <w:rFonts w:ascii="Arial" w:hAnsi="Arial" w:cs="Arial"/>
                <w:lang w:eastAsia="en-GB"/>
              </w:rPr>
            </w:pPr>
            <w:hyperlink r:id="rId8" w:history="1">
              <w:r w:rsidR="001C58E2" w:rsidRPr="0053527D">
                <w:rPr>
                  <w:rStyle w:val="Hyperlink"/>
                  <w:rFonts w:ascii="Arial" w:hAnsi="Arial" w:cs="Arial"/>
                  <w:lang w:eastAsia="en-GB"/>
                </w:rPr>
                <w:t>Governance documents and regulations</w:t>
              </w:r>
            </w:hyperlink>
          </w:p>
          <w:p w14:paraId="3A0301BD" w14:textId="0FD2E88E" w:rsidR="009103E1" w:rsidRPr="0053527D" w:rsidRDefault="009103E1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3527D">
              <w:rPr>
                <w:rFonts w:ascii="Arial" w:hAnsi="Arial" w:cs="Arial"/>
                <w:color w:val="000000"/>
                <w:lang w:eastAsia="en-GB"/>
              </w:rPr>
              <w:t>L</w:t>
            </w:r>
            <w:r w:rsidRPr="0053527D">
              <w:rPr>
                <w:rFonts w:ascii="Arial" w:hAnsi="Arial" w:cs="Arial"/>
                <w:color w:val="000000"/>
              </w:rPr>
              <w:t xml:space="preserve">ibrary </w:t>
            </w:r>
            <w:r w:rsidRPr="0053527D">
              <w:rPr>
                <w:rFonts w:ascii="Arial" w:hAnsi="Arial" w:cs="Arial"/>
                <w:color w:val="000000"/>
                <w:lang w:eastAsia="en-GB"/>
              </w:rPr>
              <w:t>C</w:t>
            </w:r>
            <w:r w:rsidRPr="0053527D">
              <w:rPr>
                <w:rFonts w:ascii="Arial" w:hAnsi="Arial" w:cs="Arial"/>
                <w:color w:val="000000"/>
              </w:rPr>
              <w:t>ode of Conduct</w:t>
            </w:r>
          </w:p>
        </w:tc>
      </w:tr>
      <w:tr w:rsidR="001C58E2" w14:paraId="250E6FE5" w14:textId="77777777" w:rsidTr="001C58E2">
        <w:trPr>
          <w:trHeight w:val="264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6AF0" w14:textId="2C7ABAA4" w:rsidR="001C58E2" w:rsidRDefault="00066740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O</w:t>
            </w:r>
            <w:r w:rsidR="001C58E2">
              <w:rPr>
                <w:rFonts w:ascii="Arial" w:hAnsi="Arial" w:cs="Arial"/>
                <w:color w:val="000000"/>
                <w:lang w:eastAsia="en-GB"/>
              </w:rPr>
              <w:t>wner: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3A4D" w14:textId="75228497" w:rsidR="001C58E2" w:rsidRPr="000F1E24" w:rsidRDefault="001C58E2" w:rsidP="0053527D">
            <w:pPr>
              <w:rPr>
                <w:rFonts w:ascii="Arial" w:hAnsi="Arial" w:cs="Arial"/>
                <w:iCs/>
                <w:color w:val="000000"/>
                <w:lang w:eastAsia="en-GB"/>
              </w:rPr>
            </w:pPr>
            <w:r w:rsidRPr="000F1E24">
              <w:rPr>
                <w:rFonts w:ascii="Arial" w:hAnsi="Arial" w:cs="Arial"/>
                <w:iCs/>
                <w:color w:val="000000"/>
                <w:lang w:eastAsia="en-GB"/>
              </w:rPr>
              <w:t>Library</w:t>
            </w:r>
          </w:p>
        </w:tc>
      </w:tr>
      <w:tr w:rsidR="001C58E2" w14:paraId="316348A5" w14:textId="77777777" w:rsidTr="001C58E2">
        <w:trPr>
          <w:trHeight w:val="103"/>
          <w:jc w:val="center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76874" w14:textId="77777777" w:rsidR="001C58E2" w:rsidRDefault="001C58E2" w:rsidP="0053527D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Lead contact / author: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EFD4" w14:textId="77777777" w:rsidR="001C58E2" w:rsidRPr="000F1E24" w:rsidRDefault="001C58E2" w:rsidP="0053527D">
            <w:pPr>
              <w:rPr>
                <w:rFonts w:ascii="Arial" w:hAnsi="Arial" w:cs="Arial"/>
                <w:iCs/>
                <w:color w:val="000000"/>
                <w:lang w:eastAsia="en-GB"/>
              </w:rPr>
            </w:pPr>
            <w:r w:rsidRPr="000F1E24">
              <w:rPr>
                <w:rFonts w:ascii="Arial" w:hAnsi="Arial" w:cs="Arial"/>
                <w:iCs/>
                <w:color w:val="000000"/>
                <w:lang w:eastAsia="en-GB"/>
              </w:rPr>
              <w:t>Director of Library Services</w:t>
            </w:r>
          </w:p>
        </w:tc>
      </w:tr>
    </w:tbl>
    <w:p w14:paraId="3F164194" w14:textId="53DEB324" w:rsidR="001C58E2" w:rsidRPr="001C58E2" w:rsidRDefault="001C58E2" w:rsidP="00544602">
      <w:pPr>
        <w:spacing w:line="360" w:lineRule="auto"/>
        <w:rPr>
          <w:rFonts w:ascii="Arial" w:hAnsi="Arial" w:cs="Arial"/>
        </w:rPr>
      </w:pPr>
    </w:p>
    <w:p w14:paraId="218B46E5" w14:textId="772B785C" w:rsidR="001C58E2" w:rsidRDefault="001C58E2" w:rsidP="001C58E2">
      <w:pPr>
        <w:rPr>
          <w:rFonts w:ascii="Arial" w:hAnsi="Arial" w:cs="Arial"/>
        </w:rPr>
      </w:pPr>
    </w:p>
    <w:p w14:paraId="59B551F7" w14:textId="1624F3B2" w:rsidR="001C58E2" w:rsidRPr="001C58E2" w:rsidRDefault="001C58E2" w:rsidP="001C58E2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C58E2" w:rsidRPr="001C58E2" w:rsidSect="00172CA8">
      <w:footerReference w:type="default" r:id="rId9"/>
      <w:headerReference w:type="first" r:id="rId10"/>
      <w:pgSz w:w="11909" w:h="16834" w:code="9"/>
      <w:pgMar w:top="1418" w:right="1247" w:bottom="748" w:left="1361" w:header="567" w:footer="397" w:gutter="0"/>
      <w:paperSrc w:firs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95A5" w14:textId="77777777" w:rsidR="00BA6AB4" w:rsidRDefault="00BA6AB4" w:rsidP="00533E92">
      <w:r>
        <w:separator/>
      </w:r>
    </w:p>
  </w:endnote>
  <w:endnote w:type="continuationSeparator" w:id="0">
    <w:p w14:paraId="4EAA7AF2" w14:textId="77777777" w:rsidR="00BA6AB4" w:rsidRDefault="00BA6AB4" w:rsidP="0053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876A" w14:textId="3DFB6A90" w:rsidR="00533E92" w:rsidRDefault="00533E92">
    <w:pPr>
      <w:pStyle w:val="Footer"/>
    </w:pPr>
  </w:p>
  <w:p w14:paraId="341AE77E" w14:textId="77777777" w:rsidR="004547CB" w:rsidRPr="003C5058" w:rsidRDefault="00000000" w:rsidP="003C5058">
    <w:pPr>
      <w:widowControl w:val="0"/>
      <w:spacing w:before="18" w:line="264" w:lineRule="auto"/>
      <w:ind w:right="-27"/>
      <w:jc w:val="center"/>
      <w:rPr>
        <w:rFonts w:ascii="Arial" w:eastAsia="Franklin Gothic Book" w:hAnsi="Arial" w:cs="Arial"/>
        <w:color w:val="003E44"/>
        <w:sz w:val="16"/>
        <w:szCs w:val="16"/>
        <w:u w:val="single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1CF2" w14:textId="77777777" w:rsidR="00BA6AB4" w:rsidRDefault="00BA6AB4" w:rsidP="00533E92">
      <w:r>
        <w:separator/>
      </w:r>
    </w:p>
  </w:footnote>
  <w:footnote w:type="continuationSeparator" w:id="0">
    <w:p w14:paraId="67A5C35B" w14:textId="77777777" w:rsidR="00BA6AB4" w:rsidRDefault="00BA6AB4" w:rsidP="0053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39D9" w14:textId="77777777" w:rsidR="004547CB" w:rsidRDefault="00000000" w:rsidP="001101D9">
    <w:pPr>
      <w:pStyle w:val="Header"/>
      <w:jc w:val="right"/>
      <w:rPr>
        <w:rFonts w:ascii="Arial" w:hAnsi="Arial" w:cs="Arial"/>
        <w:sz w:val="16"/>
      </w:rPr>
    </w:pPr>
  </w:p>
  <w:p w14:paraId="47AE0F53" w14:textId="3A984CF4" w:rsidR="004547CB" w:rsidRPr="00914A9C" w:rsidRDefault="00000000" w:rsidP="002C5E80">
    <w:pPr>
      <w:widowControl w:val="0"/>
      <w:tabs>
        <w:tab w:val="center" w:pos="4513"/>
        <w:tab w:val="right" w:pos="9026"/>
      </w:tabs>
      <w:jc w:val="center"/>
      <w:rPr>
        <w:rFonts w:ascii="Arial" w:hAnsi="Arial" w:cs="Arial"/>
        <w:sz w:val="20"/>
      </w:rPr>
    </w:pPr>
  </w:p>
  <w:p w14:paraId="7B8EC6A7" w14:textId="77777777" w:rsidR="004547CB" w:rsidRPr="00F56F2C" w:rsidRDefault="00000000" w:rsidP="00D07880">
    <w:pPr>
      <w:widowControl w:val="0"/>
      <w:tabs>
        <w:tab w:val="center" w:pos="4513"/>
        <w:tab w:val="right" w:pos="9026"/>
      </w:tabs>
      <w:jc w:val="right"/>
      <w:rPr>
        <w:rFonts w:ascii="Arial" w:hAnsi="Arial" w:cs="Arial"/>
        <w:sz w:val="20"/>
      </w:rPr>
    </w:pPr>
  </w:p>
  <w:p w14:paraId="2F67FD43" w14:textId="7FCCED3A" w:rsidR="004547CB" w:rsidRPr="003C5058" w:rsidRDefault="00000000" w:rsidP="002C5E80">
    <w:pPr>
      <w:widowControl w:val="0"/>
      <w:tabs>
        <w:tab w:val="center" w:pos="4513"/>
        <w:tab w:val="right" w:pos="9026"/>
      </w:tabs>
      <w:jc w:val="center"/>
      <w:rPr>
        <w:rFonts w:ascii="Arial" w:eastAsia="Cambria" w:hAnsi="Arial" w:cs="Arial"/>
        <w:color w:val="003E44"/>
        <w:sz w:val="23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C86"/>
    <w:multiLevelType w:val="hybridMultilevel"/>
    <w:tmpl w:val="86C6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A91"/>
    <w:multiLevelType w:val="hybridMultilevel"/>
    <w:tmpl w:val="BF54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4F39"/>
    <w:multiLevelType w:val="hybridMultilevel"/>
    <w:tmpl w:val="B756FF5C"/>
    <w:lvl w:ilvl="0" w:tplc="DDEE965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86CA53C6">
      <w:start w:val="1"/>
      <w:numFmt w:val="lowerLetter"/>
      <w:lvlText w:val="(%2)"/>
      <w:lvlJc w:val="left"/>
      <w:pPr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2343FE"/>
    <w:multiLevelType w:val="hybridMultilevel"/>
    <w:tmpl w:val="7D968684"/>
    <w:lvl w:ilvl="0" w:tplc="3D7E5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6CA53C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46E"/>
    <w:multiLevelType w:val="hybridMultilevel"/>
    <w:tmpl w:val="E070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22DDB"/>
    <w:multiLevelType w:val="hybridMultilevel"/>
    <w:tmpl w:val="CC323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35C3"/>
    <w:multiLevelType w:val="hybridMultilevel"/>
    <w:tmpl w:val="52D2C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40395"/>
    <w:multiLevelType w:val="hybridMultilevel"/>
    <w:tmpl w:val="5EECEBA0"/>
    <w:lvl w:ilvl="0" w:tplc="67966A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7E91"/>
    <w:multiLevelType w:val="hybridMultilevel"/>
    <w:tmpl w:val="40905A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00552"/>
    <w:multiLevelType w:val="hybridMultilevel"/>
    <w:tmpl w:val="FB3CEB68"/>
    <w:lvl w:ilvl="0" w:tplc="BAAE4E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B90564"/>
    <w:multiLevelType w:val="hybridMultilevel"/>
    <w:tmpl w:val="6E261966"/>
    <w:lvl w:ilvl="0" w:tplc="86CA53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8E6757"/>
    <w:multiLevelType w:val="hybridMultilevel"/>
    <w:tmpl w:val="7ACA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912502">
    <w:abstractNumId w:val="6"/>
  </w:num>
  <w:num w:numId="2" w16cid:durableId="1703633099">
    <w:abstractNumId w:val="5"/>
  </w:num>
  <w:num w:numId="3" w16cid:durableId="837501303">
    <w:abstractNumId w:val="11"/>
  </w:num>
  <w:num w:numId="4" w16cid:durableId="638074103">
    <w:abstractNumId w:val="4"/>
  </w:num>
  <w:num w:numId="5" w16cid:durableId="1346905105">
    <w:abstractNumId w:val="1"/>
  </w:num>
  <w:num w:numId="6" w16cid:durableId="1787116779">
    <w:abstractNumId w:val="0"/>
  </w:num>
  <w:num w:numId="7" w16cid:durableId="948197628">
    <w:abstractNumId w:val="10"/>
  </w:num>
  <w:num w:numId="8" w16cid:durableId="273296528">
    <w:abstractNumId w:val="8"/>
  </w:num>
  <w:num w:numId="9" w16cid:durableId="597173989">
    <w:abstractNumId w:val="2"/>
  </w:num>
  <w:num w:numId="10" w16cid:durableId="469129292">
    <w:abstractNumId w:val="7"/>
  </w:num>
  <w:num w:numId="11" w16cid:durableId="1104954713">
    <w:abstractNumId w:val="3"/>
  </w:num>
  <w:num w:numId="12" w16cid:durableId="16173734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92"/>
    <w:rsid w:val="000273AF"/>
    <w:rsid w:val="00066740"/>
    <w:rsid w:val="000B2040"/>
    <w:rsid w:val="000F1E24"/>
    <w:rsid w:val="001359AC"/>
    <w:rsid w:val="001C58E2"/>
    <w:rsid w:val="004253F8"/>
    <w:rsid w:val="00481E02"/>
    <w:rsid w:val="004D7F8B"/>
    <w:rsid w:val="00533E92"/>
    <w:rsid w:val="0053527D"/>
    <w:rsid w:val="00544602"/>
    <w:rsid w:val="006811A3"/>
    <w:rsid w:val="008E69A5"/>
    <w:rsid w:val="009103E1"/>
    <w:rsid w:val="00B279D1"/>
    <w:rsid w:val="00BA6AB4"/>
    <w:rsid w:val="00E52EB3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22F4"/>
  <w15:chartTrackingRefBased/>
  <w15:docId w15:val="{9F4D8F81-9E34-4BCB-B2D5-0E5C615E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33E9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33E9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33E92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3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E9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E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9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3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92"/>
  </w:style>
  <w:style w:type="character" w:styleId="Hyperlink">
    <w:name w:val="Hyperlink"/>
    <w:basedOn w:val="DefaultParagraphFont"/>
    <w:uiPriority w:val="99"/>
    <w:semiHidden/>
    <w:unhideWhenUsed/>
    <w:rsid w:val="001C58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.ac.uk/ogs/govdocuments/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7887-A908-4474-A4B8-373AC1C5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Clark</dc:creator>
  <cp:keywords/>
  <dc:description/>
  <cp:lastModifiedBy>Lindsay Crook</cp:lastModifiedBy>
  <cp:revision>8</cp:revision>
  <dcterms:created xsi:type="dcterms:W3CDTF">2021-07-21T14:11:00Z</dcterms:created>
  <dcterms:modified xsi:type="dcterms:W3CDTF">2023-07-25T12:56:00Z</dcterms:modified>
</cp:coreProperties>
</file>