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45" w:rsidRPr="00F41345" w:rsidRDefault="00D2587A" w:rsidP="00F4134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UoS</w:t>
      </w:r>
      <w:proofErr w:type="spellEnd"/>
      <w:r>
        <w:rPr>
          <w:b/>
          <w:sz w:val="32"/>
          <w:szCs w:val="32"/>
        </w:rPr>
        <w:t xml:space="preserve"> </w:t>
      </w:r>
      <w:r w:rsidR="00F41345" w:rsidRPr="00F41345">
        <w:rPr>
          <w:b/>
          <w:sz w:val="32"/>
          <w:szCs w:val="32"/>
        </w:rPr>
        <w:t>COVID RESPONSE</w:t>
      </w:r>
      <w:r>
        <w:rPr>
          <w:b/>
          <w:sz w:val="32"/>
          <w:szCs w:val="32"/>
        </w:rPr>
        <w:t>:  APPLICATION FOR HEIF PROJECT SUPPORT</w:t>
      </w:r>
    </w:p>
    <w:p w:rsidR="00B7174F" w:rsidRDefault="00B7174F" w:rsidP="00F41345">
      <w:pPr>
        <w:rPr>
          <w:sz w:val="24"/>
          <w:szCs w:val="24"/>
        </w:rPr>
      </w:pPr>
    </w:p>
    <w:p w:rsidR="00BE629C" w:rsidRPr="00BE629C" w:rsidRDefault="00B7174F" w:rsidP="00F41345">
      <w:pPr>
        <w:rPr>
          <w:sz w:val="24"/>
          <w:szCs w:val="24"/>
        </w:rPr>
      </w:pPr>
      <w:r>
        <w:rPr>
          <w:sz w:val="24"/>
          <w:szCs w:val="24"/>
        </w:rPr>
        <w:t xml:space="preserve">To work most effectively with external partners to address the challenges and opportunities presented by the COVID pandemic, the </w:t>
      </w:r>
      <w:r w:rsidR="00F41345">
        <w:rPr>
          <w:sz w:val="24"/>
          <w:szCs w:val="24"/>
        </w:rPr>
        <w:t>University</w:t>
      </w:r>
      <w:r>
        <w:rPr>
          <w:sz w:val="24"/>
          <w:szCs w:val="24"/>
        </w:rPr>
        <w:t xml:space="preserve"> has set up a dedicated</w:t>
      </w:r>
      <w:r w:rsidR="00F41345">
        <w:rPr>
          <w:sz w:val="24"/>
          <w:szCs w:val="24"/>
        </w:rPr>
        <w:t xml:space="preserve"> COVID Taskforce</w:t>
      </w:r>
      <w:r w:rsidR="002B7E98">
        <w:rPr>
          <w:sz w:val="24"/>
          <w:szCs w:val="24"/>
        </w:rPr>
        <w:t xml:space="preserve"> until August 2020</w:t>
      </w:r>
      <w:r w:rsidR="007F2393">
        <w:rPr>
          <w:sz w:val="24"/>
          <w:szCs w:val="24"/>
        </w:rPr>
        <w:t xml:space="preserve">.  Key aspects of the work of </w:t>
      </w:r>
      <w:r w:rsidR="003D592F">
        <w:rPr>
          <w:sz w:val="24"/>
          <w:szCs w:val="24"/>
        </w:rPr>
        <w:t xml:space="preserve">the </w:t>
      </w:r>
      <w:r w:rsidR="007F2393">
        <w:rPr>
          <w:sz w:val="24"/>
          <w:szCs w:val="24"/>
        </w:rPr>
        <w:t>Taskforce will be supported through the University’s Higher Education Innovation Fund (HEIF)</w:t>
      </w:r>
      <w:r w:rsidR="00457488">
        <w:rPr>
          <w:sz w:val="24"/>
          <w:szCs w:val="24"/>
        </w:rPr>
        <w:t>.  This fund</w:t>
      </w:r>
      <w:r w:rsidR="007F2393">
        <w:rPr>
          <w:sz w:val="24"/>
          <w:szCs w:val="24"/>
        </w:rPr>
        <w:t xml:space="preserve"> will be used</w:t>
      </w:r>
      <w:r w:rsidR="00AC5ED2">
        <w:rPr>
          <w:sz w:val="24"/>
          <w:szCs w:val="24"/>
        </w:rPr>
        <w:t xml:space="preserve"> until </w:t>
      </w:r>
      <w:r w:rsidR="00B23A9B">
        <w:rPr>
          <w:sz w:val="24"/>
          <w:szCs w:val="24"/>
        </w:rPr>
        <w:t>31 July</w:t>
      </w:r>
      <w:r w:rsidR="00AC5ED2">
        <w:rPr>
          <w:sz w:val="24"/>
          <w:szCs w:val="24"/>
        </w:rPr>
        <w:t xml:space="preserve"> 2020</w:t>
      </w:r>
      <w:r w:rsidR="007F2393">
        <w:rPr>
          <w:sz w:val="24"/>
          <w:szCs w:val="24"/>
        </w:rPr>
        <w:t xml:space="preserve"> to embed the benefits of research-led solutions to clinical, economic and social challenges to make a tangible difference to people’s health, social and economic outcomes and also to </w:t>
      </w:r>
      <w:r>
        <w:rPr>
          <w:sz w:val="24"/>
          <w:szCs w:val="24"/>
        </w:rPr>
        <w:t xml:space="preserve">provide innovative </w:t>
      </w:r>
      <w:r w:rsidR="00F41345">
        <w:rPr>
          <w:sz w:val="24"/>
          <w:szCs w:val="24"/>
        </w:rPr>
        <w:t xml:space="preserve">Personal Protective Equipment (PPE) </w:t>
      </w:r>
      <w:r>
        <w:rPr>
          <w:sz w:val="24"/>
          <w:szCs w:val="24"/>
        </w:rPr>
        <w:t xml:space="preserve">to </w:t>
      </w:r>
      <w:r w:rsidR="007F2393">
        <w:rPr>
          <w:sz w:val="24"/>
          <w:szCs w:val="24"/>
        </w:rPr>
        <w:t>organisations in need</w:t>
      </w:r>
      <w:r w:rsidR="002B7E98">
        <w:rPr>
          <w:sz w:val="24"/>
          <w:szCs w:val="24"/>
        </w:rPr>
        <w:t xml:space="preserve">, </w:t>
      </w:r>
      <w:r w:rsidR="007F2393">
        <w:rPr>
          <w:sz w:val="24"/>
          <w:szCs w:val="24"/>
        </w:rPr>
        <w:t xml:space="preserve">such as care homes and </w:t>
      </w:r>
      <w:r w:rsidR="002B7E98">
        <w:rPr>
          <w:sz w:val="24"/>
          <w:szCs w:val="24"/>
        </w:rPr>
        <w:t>community groups</w:t>
      </w:r>
      <w:r w:rsidR="00F41345">
        <w:rPr>
          <w:sz w:val="24"/>
          <w:szCs w:val="24"/>
        </w:rPr>
        <w:t>.</w:t>
      </w:r>
      <w:r w:rsidR="00BC6327">
        <w:rPr>
          <w:sz w:val="24"/>
          <w:szCs w:val="24"/>
        </w:rPr>
        <w:t xml:space="preserve">  If you would like </w:t>
      </w:r>
      <w:r w:rsidR="00B23A9B">
        <w:rPr>
          <w:sz w:val="24"/>
          <w:szCs w:val="24"/>
        </w:rPr>
        <w:t xml:space="preserve">up to £25,000 </w:t>
      </w:r>
      <w:r w:rsidR="00BC6327">
        <w:rPr>
          <w:sz w:val="24"/>
          <w:szCs w:val="24"/>
        </w:rPr>
        <w:t>HEIF support for any of the above activities, p</w:t>
      </w:r>
      <w:r w:rsidR="00E87A89">
        <w:rPr>
          <w:sz w:val="24"/>
          <w:szCs w:val="24"/>
        </w:rPr>
        <w:t xml:space="preserve">lease </w:t>
      </w:r>
      <w:r w:rsidR="00BC6327">
        <w:rPr>
          <w:sz w:val="24"/>
          <w:szCs w:val="24"/>
        </w:rPr>
        <w:t xml:space="preserve">complete this application, </w:t>
      </w:r>
      <w:r w:rsidR="00457488">
        <w:rPr>
          <w:sz w:val="24"/>
          <w:szCs w:val="24"/>
        </w:rPr>
        <w:t>address</w:t>
      </w:r>
      <w:r w:rsidR="00BC6327">
        <w:rPr>
          <w:sz w:val="24"/>
          <w:szCs w:val="24"/>
        </w:rPr>
        <w:t>ing</w:t>
      </w:r>
      <w:r w:rsidR="00D84353">
        <w:rPr>
          <w:sz w:val="24"/>
          <w:szCs w:val="24"/>
        </w:rPr>
        <w:t xml:space="preserve"> each of</w:t>
      </w:r>
      <w:r w:rsidR="00457488">
        <w:rPr>
          <w:sz w:val="24"/>
          <w:szCs w:val="24"/>
        </w:rPr>
        <w:t xml:space="preserve"> the questions </w:t>
      </w:r>
      <w:r w:rsidR="00D84353">
        <w:rPr>
          <w:sz w:val="24"/>
          <w:szCs w:val="24"/>
        </w:rPr>
        <w:t xml:space="preserve">1-9 </w:t>
      </w:r>
      <w:r w:rsidR="00457488">
        <w:rPr>
          <w:sz w:val="24"/>
          <w:szCs w:val="24"/>
        </w:rPr>
        <w:t xml:space="preserve">set out below and </w:t>
      </w:r>
      <w:r w:rsidR="00E87A89">
        <w:rPr>
          <w:sz w:val="24"/>
          <w:szCs w:val="24"/>
        </w:rPr>
        <w:t xml:space="preserve">describe your proposal </w:t>
      </w:r>
      <w:r w:rsidR="00457488">
        <w:rPr>
          <w:sz w:val="24"/>
          <w:szCs w:val="24"/>
        </w:rPr>
        <w:t>with regard</w:t>
      </w:r>
      <w:r w:rsidR="00BE629C">
        <w:rPr>
          <w:sz w:val="24"/>
          <w:szCs w:val="24"/>
        </w:rPr>
        <w:t xml:space="preserve"> to the following criteria:</w:t>
      </w:r>
    </w:p>
    <w:p w:rsidR="00F41345" w:rsidRDefault="00F41345" w:rsidP="00F41345">
      <w:r>
        <w:rPr>
          <w:sz w:val="12"/>
          <w:szCs w:val="12"/>
        </w:rPr>
        <w:t> </w:t>
      </w:r>
    </w:p>
    <w:p w:rsidR="006157A8" w:rsidRDefault="006157A8" w:rsidP="00D84353">
      <w:pPr>
        <w:numPr>
          <w:ilvl w:val="0"/>
          <w:numId w:val="3"/>
        </w:numPr>
        <w:ind w:left="851" w:hanging="426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Demand</w:t>
      </w:r>
      <w:r>
        <w:rPr>
          <w:rFonts w:eastAsia="Times New Roman"/>
          <w:sz w:val="24"/>
          <w:szCs w:val="24"/>
        </w:rPr>
        <w:t xml:space="preserve">:  Key partners support and prioritise the initiative </w:t>
      </w:r>
    </w:p>
    <w:p w:rsidR="00F41345" w:rsidRDefault="00F41345" w:rsidP="00D84353">
      <w:pPr>
        <w:numPr>
          <w:ilvl w:val="0"/>
          <w:numId w:val="3"/>
        </w:numPr>
        <w:ind w:left="851" w:hanging="426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Impact</w:t>
      </w:r>
      <w:r>
        <w:rPr>
          <w:rFonts w:eastAsia="Times New Roman"/>
          <w:sz w:val="24"/>
          <w:szCs w:val="24"/>
        </w:rPr>
        <w:t>: Makes a tangible</w:t>
      </w:r>
      <w:r w:rsidR="003D592F">
        <w:rPr>
          <w:rFonts w:eastAsia="Times New Roman"/>
          <w:sz w:val="24"/>
          <w:szCs w:val="24"/>
        </w:rPr>
        <w:t>, positive</w:t>
      </w:r>
      <w:r>
        <w:rPr>
          <w:rFonts w:eastAsia="Times New Roman"/>
          <w:sz w:val="24"/>
          <w:szCs w:val="24"/>
        </w:rPr>
        <w:t xml:space="preserve"> difference to the health and wellbeing; economic; social and cultural outcomes from the COVID crisis </w:t>
      </w:r>
    </w:p>
    <w:p w:rsidR="004D7A0E" w:rsidRPr="004D7A0E" w:rsidRDefault="00F41345" w:rsidP="00D84353">
      <w:pPr>
        <w:numPr>
          <w:ilvl w:val="0"/>
          <w:numId w:val="3"/>
        </w:numPr>
        <w:ind w:left="851" w:hanging="426"/>
        <w:rPr>
          <w:rFonts w:eastAsia="Times New Roman"/>
        </w:rPr>
      </w:pPr>
      <w:r w:rsidRPr="004D7A0E">
        <w:rPr>
          <w:rFonts w:eastAsia="Times New Roman"/>
          <w:b/>
          <w:bCs/>
          <w:sz w:val="24"/>
          <w:szCs w:val="24"/>
        </w:rPr>
        <w:t>Leverage</w:t>
      </w:r>
      <w:r w:rsidRPr="004D7A0E">
        <w:rPr>
          <w:rFonts w:eastAsia="Times New Roman"/>
          <w:sz w:val="24"/>
          <w:szCs w:val="24"/>
        </w:rPr>
        <w:t>:  Unlocks and/or builds on specific investment and/or in-kind cont</w:t>
      </w:r>
      <w:r w:rsidR="004D7A0E">
        <w:rPr>
          <w:rFonts w:eastAsia="Times New Roman"/>
          <w:sz w:val="24"/>
          <w:szCs w:val="24"/>
        </w:rPr>
        <w:t xml:space="preserve">ributions from collaborators – </w:t>
      </w:r>
      <w:r w:rsidR="00AA763A">
        <w:rPr>
          <w:rFonts w:eastAsia="Times New Roman"/>
          <w:sz w:val="24"/>
          <w:szCs w:val="24"/>
        </w:rPr>
        <w:t>but does not</w:t>
      </w:r>
      <w:r w:rsidR="004D7A0E">
        <w:rPr>
          <w:rFonts w:eastAsia="Times New Roman"/>
          <w:sz w:val="24"/>
          <w:szCs w:val="24"/>
        </w:rPr>
        <w:t xml:space="preserve"> substitute for alternative sources of funding</w:t>
      </w:r>
    </w:p>
    <w:p w:rsidR="004D7A0E" w:rsidRPr="004D7A0E" w:rsidRDefault="004D7A0E" w:rsidP="00D84353">
      <w:pPr>
        <w:numPr>
          <w:ilvl w:val="0"/>
          <w:numId w:val="3"/>
        </w:numPr>
        <w:ind w:left="851" w:hanging="426"/>
        <w:rPr>
          <w:rFonts w:eastAsia="Times New Roman"/>
        </w:rPr>
      </w:pPr>
      <w:r w:rsidRPr="004D7A0E">
        <w:rPr>
          <w:rFonts w:eastAsia="Times New Roman"/>
          <w:b/>
          <w:bCs/>
          <w:sz w:val="24"/>
          <w:szCs w:val="24"/>
        </w:rPr>
        <w:t>Partnership</w:t>
      </w:r>
      <w:r w:rsidRPr="004D7A0E">
        <w:rPr>
          <w:rFonts w:eastAsia="Times New Roman"/>
          <w:sz w:val="24"/>
          <w:szCs w:val="24"/>
        </w:rPr>
        <w:t xml:space="preserve">:  Embeds </w:t>
      </w:r>
      <w:r w:rsidR="003D592F">
        <w:rPr>
          <w:rFonts w:eastAsia="Times New Roman"/>
          <w:sz w:val="24"/>
          <w:szCs w:val="24"/>
        </w:rPr>
        <w:t xml:space="preserve">and builds </w:t>
      </w:r>
      <w:r w:rsidRPr="004D7A0E">
        <w:rPr>
          <w:rFonts w:eastAsia="Times New Roman"/>
          <w:sz w:val="24"/>
          <w:szCs w:val="24"/>
        </w:rPr>
        <w:t>stronger long-term relationships which are likely to lead to future knowledge exchange / enterprising  collaborations</w:t>
      </w:r>
    </w:p>
    <w:p w:rsidR="004D7A0E" w:rsidRDefault="004D7A0E" w:rsidP="00D84353">
      <w:pPr>
        <w:numPr>
          <w:ilvl w:val="0"/>
          <w:numId w:val="3"/>
        </w:numPr>
        <w:ind w:left="851" w:hanging="426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VFM:  </w:t>
      </w:r>
      <w:r>
        <w:rPr>
          <w:rFonts w:eastAsia="Times New Roman"/>
          <w:sz w:val="24"/>
          <w:szCs w:val="24"/>
        </w:rPr>
        <w:t>Conforms to best value and state aid principles</w:t>
      </w:r>
      <w:r w:rsidR="00D2587A">
        <w:rPr>
          <w:rFonts w:eastAsia="Times New Roman"/>
          <w:sz w:val="24"/>
          <w:szCs w:val="24"/>
        </w:rPr>
        <w:t xml:space="preserve"> and where appropriate, opens up income generation opportunities.</w:t>
      </w:r>
    </w:p>
    <w:p w:rsidR="004D7A0E" w:rsidRDefault="004D7A0E" w:rsidP="004D7A0E">
      <w:pPr>
        <w:ind w:left="426" w:hanging="426"/>
      </w:pPr>
    </w:p>
    <w:p w:rsidR="00670926" w:rsidRPr="004D1CD2" w:rsidRDefault="00BE629C" w:rsidP="004D1CD2">
      <w:pPr>
        <w:pStyle w:val="ListParagraph"/>
        <w:numPr>
          <w:ilvl w:val="0"/>
          <w:numId w:val="4"/>
        </w:numPr>
        <w:ind w:left="426" w:hanging="426"/>
        <w:rPr>
          <w:b/>
        </w:rPr>
      </w:pPr>
      <w:r w:rsidRPr="004D1CD2">
        <w:rPr>
          <w:b/>
          <w:sz w:val="24"/>
          <w:szCs w:val="24"/>
        </w:rPr>
        <w:t>Project Title</w:t>
      </w:r>
      <w:r w:rsidR="006157A8" w:rsidRPr="004D1CD2">
        <w:rPr>
          <w:b/>
          <w:sz w:val="24"/>
          <w:szCs w:val="24"/>
        </w:rPr>
        <w:t xml:space="preserve"> </w:t>
      </w:r>
      <w:r w:rsidR="004D1CD2" w:rsidRPr="004D1CD2">
        <w:rPr>
          <w:i/>
        </w:rPr>
        <w:t>[15 words max]</w:t>
      </w:r>
    </w:p>
    <w:p w:rsidR="00670926" w:rsidRDefault="00670926" w:rsidP="004D1CD2">
      <w:pPr>
        <w:ind w:left="426" w:hanging="426"/>
      </w:pPr>
    </w:p>
    <w:p w:rsidR="004D1CD2" w:rsidRPr="00457488" w:rsidRDefault="004D1CD2" w:rsidP="00457488">
      <w:pPr>
        <w:pStyle w:val="ListParagraph"/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 w:rsidRPr="004D1CD2">
        <w:rPr>
          <w:b/>
          <w:sz w:val="24"/>
          <w:szCs w:val="24"/>
        </w:rPr>
        <w:t>Project Lead (</w:t>
      </w:r>
      <w:proofErr w:type="spellStart"/>
      <w:r w:rsidRPr="004D1CD2">
        <w:rPr>
          <w:b/>
          <w:sz w:val="24"/>
          <w:szCs w:val="24"/>
        </w:rPr>
        <w:t>ie</w:t>
      </w:r>
      <w:proofErr w:type="spellEnd"/>
      <w:r w:rsidRPr="004D1CD2">
        <w:rPr>
          <w:b/>
          <w:sz w:val="24"/>
          <w:szCs w:val="24"/>
        </w:rPr>
        <w:t>. the person accountable for delivering the project) + School / Department</w:t>
      </w:r>
    </w:p>
    <w:p w:rsidR="004D1CD2" w:rsidRPr="00BC6327" w:rsidRDefault="004D1CD2" w:rsidP="004D1CD2">
      <w:pPr>
        <w:ind w:left="426" w:hanging="426"/>
        <w:rPr>
          <w:b/>
        </w:rPr>
      </w:pPr>
    </w:p>
    <w:p w:rsidR="00582014" w:rsidRPr="00BC6327" w:rsidRDefault="00582014" w:rsidP="004D1CD2">
      <w:pPr>
        <w:pStyle w:val="ListParagraph"/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 w:rsidRPr="00BC6327">
        <w:rPr>
          <w:b/>
          <w:sz w:val="24"/>
          <w:szCs w:val="24"/>
        </w:rPr>
        <w:t>HEIF B</w:t>
      </w:r>
      <w:r w:rsidR="00BC6327">
        <w:rPr>
          <w:b/>
          <w:sz w:val="24"/>
          <w:szCs w:val="24"/>
        </w:rPr>
        <w:t>udget requested</w:t>
      </w:r>
      <w:r w:rsidR="00BC6327" w:rsidRPr="00BC6327">
        <w:rPr>
          <w:b/>
          <w:sz w:val="24"/>
          <w:szCs w:val="24"/>
        </w:rPr>
        <w:t xml:space="preserve"> </w:t>
      </w:r>
      <w:r w:rsidR="00BC6327" w:rsidRPr="00BC6327">
        <w:rPr>
          <w:sz w:val="24"/>
          <w:szCs w:val="24"/>
        </w:rPr>
        <w:t>(</w:t>
      </w:r>
      <w:r w:rsidR="00B23A9B">
        <w:rPr>
          <w:sz w:val="24"/>
          <w:szCs w:val="24"/>
        </w:rPr>
        <w:t xml:space="preserve">£25,000 limit - </w:t>
      </w:r>
      <w:r w:rsidR="00BC6327">
        <w:rPr>
          <w:sz w:val="24"/>
          <w:szCs w:val="24"/>
        </w:rPr>
        <w:t>to</w:t>
      </w:r>
      <w:r w:rsidR="00BC6327" w:rsidRPr="00BC6327">
        <w:rPr>
          <w:sz w:val="24"/>
          <w:szCs w:val="24"/>
        </w:rPr>
        <w:t xml:space="preserve"> be spent by 31 July 2020)     </w:t>
      </w:r>
    </w:p>
    <w:p w:rsidR="00582014" w:rsidRPr="00BC6327" w:rsidRDefault="00582014" w:rsidP="00BC6327">
      <w:pPr>
        <w:pStyle w:val="ListParagraph"/>
        <w:rPr>
          <w:b/>
          <w:sz w:val="24"/>
          <w:szCs w:val="24"/>
        </w:rPr>
      </w:pPr>
    </w:p>
    <w:p w:rsidR="00BE629C" w:rsidRPr="00BC6327" w:rsidRDefault="00BE629C" w:rsidP="004D1CD2">
      <w:pPr>
        <w:pStyle w:val="ListParagraph"/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 w:rsidRPr="00BC6327">
        <w:rPr>
          <w:b/>
          <w:sz w:val="24"/>
          <w:szCs w:val="24"/>
        </w:rPr>
        <w:t xml:space="preserve">Main </w:t>
      </w:r>
      <w:r w:rsidR="00670926" w:rsidRPr="00BC6327">
        <w:rPr>
          <w:b/>
          <w:sz w:val="24"/>
          <w:szCs w:val="24"/>
        </w:rPr>
        <w:t xml:space="preserve">Activities Proposed </w:t>
      </w:r>
    </w:p>
    <w:p w:rsidR="00670926" w:rsidRPr="004D1CD2" w:rsidRDefault="00BE629C" w:rsidP="004D1CD2">
      <w:pPr>
        <w:pStyle w:val="ListParagraph"/>
        <w:ind w:left="426"/>
        <w:rPr>
          <w:b/>
        </w:rPr>
      </w:pPr>
      <w:r w:rsidRPr="004D1CD2">
        <w:rPr>
          <w:b/>
        </w:rPr>
        <w:t>P</w:t>
      </w:r>
      <w:r w:rsidR="00670926" w:rsidRPr="004D1CD2">
        <w:rPr>
          <w:b/>
        </w:rPr>
        <w:t xml:space="preserve">lease also specify HEIF-funded activities proposed, if HEIF forms part of wider package of </w:t>
      </w:r>
      <w:r w:rsidR="006157A8" w:rsidRPr="004D1CD2">
        <w:rPr>
          <w:b/>
        </w:rPr>
        <w:t>support</w:t>
      </w:r>
    </w:p>
    <w:p w:rsidR="006157A8" w:rsidRPr="004D1CD2" w:rsidRDefault="004D1CD2" w:rsidP="004D1CD2">
      <w:pPr>
        <w:pStyle w:val="ListParagraph"/>
        <w:ind w:left="426"/>
        <w:rPr>
          <w:i/>
        </w:rPr>
      </w:pPr>
      <w:r w:rsidRPr="004D1CD2">
        <w:rPr>
          <w:i/>
        </w:rPr>
        <w:t>[</w:t>
      </w:r>
      <w:r w:rsidR="00457488">
        <w:rPr>
          <w:i/>
        </w:rPr>
        <w:t>150</w:t>
      </w:r>
      <w:r w:rsidRPr="004D1CD2">
        <w:rPr>
          <w:i/>
        </w:rPr>
        <w:t xml:space="preserve"> words max – bullet points preferred]</w:t>
      </w:r>
    </w:p>
    <w:p w:rsidR="00457488" w:rsidRPr="004D1CD2" w:rsidRDefault="00457488" w:rsidP="00457488">
      <w:pPr>
        <w:rPr>
          <w:b/>
        </w:rPr>
      </w:pPr>
    </w:p>
    <w:p w:rsidR="00AA763A" w:rsidRPr="00AA763A" w:rsidRDefault="006157A8" w:rsidP="004D1CD2">
      <w:pPr>
        <w:pStyle w:val="ListParagraph"/>
        <w:numPr>
          <w:ilvl w:val="0"/>
          <w:numId w:val="4"/>
        </w:numPr>
        <w:ind w:left="426" w:hanging="426"/>
        <w:rPr>
          <w:b/>
          <w:i/>
        </w:rPr>
      </w:pPr>
      <w:r w:rsidRPr="004D1CD2">
        <w:rPr>
          <w:b/>
          <w:sz w:val="24"/>
          <w:szCs w:val="24"/>
        </w:rPr>
        <w:t>Key Outcomes:  What</w:t>
      </w:r>
      <w:r w:rsidR="00BE629C" w:rsidRPr="004D1CD2">
        <w:rPr>
          <w:b/>
          <w:sz w:val="24"/>
          <w:szCs w:val="24"/>
        </w:rPr>
        <w:t xml:space="preserve"> difference will HEIF support make</w:t>
      </w:r>
      <w:r w:rsidRPr="004D1CD2">
        <w:rPr>
          <w:b/>
          <w:sz w:val="24"/>
          <w:szCs w:val="24"/>
        </w:rPr>
        <w:t xml:space="preserve">?  </w:t>
      </w:r>
    </w:p>
    <w:p w:rsidR="004D1CD2" w:rsidRPr="00B23A9B" w:rsidRDefault="00AA763A" w:rsidP="00AA763A">
      <w:pPr>
        <w:pStyle w:val="ListParagraph"/>
        <w:ind w:left="426"/>
        <w:rPr>
          <w:b/>
          <w:i/>
        </w:rPr>
      </w:pPr>
      <w:r w:rsidRPr="00B23A9B">
        <w:rPr>
          <w:b/>
        </w:rPr>
        <w:t xml:space="preserve">If your proposal is research-related, please state </w:t>
      </w:r>
      <w:r w:rsidR="00B23A9B">
        <w:rPr>
          <w:b/>
        </w:rPr>
        <w:t xml:space="preserve">how </w:t>
      </w:r>
      <w:r w:rsidRPr="00B23A9B">
        <w:rPr>
          <w:b/>
        </w:rPr>
        <w:t xml:space="preserve">it relates to </w:t>
      </w:r>
      <w:proofErr w:type="spellStart"/>
      <w:r w:rsidRPr="00B23A9B">
        <w:rPr>
          <w:b/>
        </w:rPr>
        <w:t>UoS</w:t>
      </w:r>
      <w:proofErr w:type="spellEnd"/>
      <w:r w:rsidR="009D7F26">
        <w:rPr>
          <w:b/>
        </w:rPr>
        <w:t>’</w:t>
      </w:r>
      <w:r w:rsidRPr="00B23A9B">
        <w:rPr>
          <w:b/>
        </w:rPr>
        <w:t xml:space="preserve"> research strength</w:t>
      </w:r>
      <w:r w:rsidR="009D7F26">
        <w:rPr>
          <w:b/>
        </w:rPr>
        <w:t>s</w:t>
      </w:r>
      <w:r w:rsidRPr="00B23A9B">
        <w:rPr>
          <w:b/>
        </w:rPr>
        <w:t xml:space="preserve"> </w:t>
      </w:r>
    </w:p>
    <w:p w:rsidR="00BE629C" w:rsidRPr="00457488" w:rsidRDefault="004D1CD2" w:rsidP="00457488">
      <w:pPr>
        <w:pStyle w:val="ListParagraph"/>
        <w:ind w:left="426"/>
        <w:rPr>
          <w:i/>
        </w:rPr>
      </w:pPr>
      <w:r w:rsidRPr="004D1CD2">
        <w:rPr>
          <w:i/>
        </w:rPr>
        <w:t>[</w:t>
      </w:r>
      <w:r w:rsidR="00457488">
        <w:rPr>
          <w:i/>
        </w:rPr>
        <w:t>150</w:t>
      </w:r>
      <w:r w:rsidRPr="004D1CD2">
        <w:rPr>
          <w:i/>
        </w:rPr>
        <w:t xml:space="preserve"> words max – bullet points preferred]</w:t>
      </w:r>
    </w:p>
    <w:p w:rsidR="00457488" w:rsidRDefault="00457488" w:rsidP="004D1CD2">
      <w:pPr>
        <w:ind w:left="426" w:hanging="426"/>
      </w:pPr>
    </w:p>
    <w:p w:rsidR="004D1CD2" w:rsidRPr="004D1CD2" w:rsidRDefault="006157A8" w:rsidP="004D1CD2">
      <w:pPr>
        <w:pStyle w:val="ListParagraph"/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 w:rsidRPr="004D1CD2">
        <w:rPr>
          <w:b/>
          <w:sz w:val="24"/>
          <w:szCs w:val="24"/>
        </w:rPr>
        <w:t>Wh</w:t>
      </w:r>
      <w:r w:rsidR="00457488">
        <w:rPr>
          <w:b/>
          <w:sz w:val="24"/>
          <w:szCs w:val="24"/>
        </w:rPr>
        <w:t>ich</w:t>
      </w:r>
      <w:r w:rsidRPr="004D1CD2">
        <w:rPr>
          <w:b/>
          <w:sz w:val="24"/>
          <w:szCs w:val="24"/>
        </w:rPr>
        <w:t xml:space="preserve"> are the key partners involved and how do they support the HEIF funded activities?  </w:t>
      </w:r>
    </w:p>
    <w:p w:rsidR="006157A8" w:rsidRPr="00457488" w:rsidRDefault="00B23A9B" w:rsidP="00457488">
      <w:pPr>
        <w:pStyle w:val="ListParagraph"/>
        <w:ind w:left="426"/>
        <w:rPr>
          <w:i/>
        </w:rPr>
      </w:pPr>
      <w:r w:rsidRPr="00B23A9B">
        <w:rPr>
          <w:b/>
        </w:rPr>
        <w:t>Please also forward messages of support from partners</w:t>
      </w:r>
      <w:r>
        <w:rPr>
          <w:i/>
        </w:rPr>
        <w:t xml:space="preserve">. </w:t>
      </w:r>
      <w:r w:rsidRPr="00B23A9B">
        <w:rPr>
          <w:i/>
        </w:rPr>
        <w:t xml:space="preserve"> </w:t>
      </w:r>
      <w:r w:rsidR="004D1CD2" w:rsidRPr="004D1CD2">
        <w:rPr>
          <w:i/>
        </w:rPr>
        <w:t>[</w:t>
      </w:r>
      <w:r w:rsidR="00457488">
        <w:rPr>
          <w:i/>
        </w:rPr>
        <w:t>150</w:t>
      </w:r>
      <w:r w:rsidR="004D1CD2" w:rsidRPr="004D1CD2">
        <w:rPr>
          <w:i/>
        </w:rPr>
        <w:t xml:space="preserve"> words max – bullet points preferred</w:t>
      </w:r>
      <w:r>
        <w:rPr>
          <w:i/>
        </w:rPr>
        <w:t xml:space="preserve">]. </w:t>
      </w:r>
    </w:p>
    <w:p w:rsidR="00457488" w:rsidRPr="00457488" w:rsidRDefault="00457488" w:rsidP="004D1CD2">
      <w:pPr>
        <w:ind w:left="426" w:hanging="426"/>
        <w:rPr>
          <w:b/>
        </w:rPr>
      </w:pPr>
    </w:p>
    <w:p w:rsidR="004D1CD2" w:rsidRPr="00457488" w:rsidRDefault="006157A8" w:rsidP="00457488">
      <w:pPr>
        <w:pStyle w:val="ListParagraph"/>
        <w:numPr>
          <w:ilvl w:val="0"/>
          <w:numId w:val="4"/>
        </w:numPr>
        <w:ind w:left="426" w:hanging="426"/>
        <w:rPr>
          <w:b/>
        </w:rPr>
      </w:pPr>
      <w:r w:rsidRPr="00457488">
        <w:rPr>
          <w:b/>
          <w:sz w:val="24"/>
          <w:szCs w:val="24"/>
        </w:rPr>
        <w:t>What other investment or in-kind contribution contributes to this project?  Is any of it dependent on release of HEIF?</w:t>
      </w:r>
      <w:r w:rsidR="00457488" w:rsidRPr="00457488">
        <w:rPr>
          <w:b/>
          <w:sz w:val="24"/>
          <w:szCs w:val="24"/>
        </w:rPr>
        <w:t xml:space="preserve">   </w:t>
      </w:r>
      <w:r w:rsidR="004D1CD2" w:rsidRPr="00457488">
        <w:rPr>
          <w:i/>
        </w:rPr>
        <w:t>[</w:t>
      </w:r>
      <w:r w:rsidR="00457488">
        <w:rPr>
          <w:i/>
        </w:rPr>
        <w:t>150</w:t>
      </w:r>
      <w:r w:rsidR="004D1CD2" w:rsidRPr="00457488">
        <w:rPr>
          <w:i/>
        </w:rPr>
        <w:t xml:space="preserve"> words max – bullet points preferred]</w:t>
      </w:r>
    </w:p>
    <w:p w:rsidR="00457488" w:rsidRDefault="00457488" w:rsidP="00457488"/>
    <w:p w:rsidR="004D1CD2" w:rsidRPr="004D1CD2" w:rsidRDefault="006157A8" w:rsidP="004D1CD2">
      <w:pPr>
        <w:pStyle w:val="ListParagraph"/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 w:rsidRPr="004D1CD2">
        <w:rPr>
          <w:b/>
          <w:sz w:val="24"/>
          <w:szCs w:val="24"/>
        </w:rPr>
        <w:t xml:space="preserve">What are the longer term collaborative opportunities formed </w:t>
      </w:r>
      <w:r w:rsidR="003D592F">
        <w:rPr>
          <w:b/>
          <w:sz w:val="24"/>
          <w:szCs w:val="24"/>
        </w:rPr>
        <w:t xml:space="preserve">/ supported </w:t>
      </w:r>
      <w:r w:rsidRPr="004D1CD2">
        <w:rPr>
          <w:b/>
          <w:sz w:val="24"/>
          <w:szCs w:val="24"/>
        </w:rPr>
        <w:t xml:space="preserve">by this project? </w:t>
      </w:r>
    </w:p>
    <w:p w:rsidR="004D1CD2" w:rsidRPr="00457488" w:rsidRDefault="004D1CD2" w:rsidP="00457488">
      <w:pPr>
        <w:pStyle w:val="ListParagraph"/>
        <w:ind w:left="426"/>
        <w:rPr>
          <w:i/>
        </w:rPr>
      </w:pPr>
      <w:r w:rsidRPr="004D1CD2">
        <w:rPr>
          <w:i/>
        </w:rPr>
        <w:t>[</w:t>
      </w:r>
      <w:r w:rsidR="00457488">
        <w:rPr>
          <w:i/>
        </w:rPr>
        <w:t>150</w:t>
      </w:r>
      <w:r w:rsidRPr="004D1CD2">
        <w:rPr>
          <w:i/>
        </w:rPr>
        <w:t xml:space="preserve"> words max – bullet points preferred]</w:t>
      </w:r>
    </w:p>
    <w:p w:rsidR="00457488" w:rsidRDefault="00457488" w:rsidP="004D1CD2">
      <w:pPr>
        <w:ind w:left="426" w:hanging="426"/>
      </w:pPr>
    </w:p>
    <w:p w:rsidR="006157A8" w:rsidRPr="004D1CD2" w:rsidRDefault="006157A8" w:rsidP="004D1CD2">
      <w:pPr>
        <w:pStyle w:val="ListParagraph"/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 w:rsidRPr="004D1CD2">
        <w:rPr>
          <w:b/>
          <w:sz w:val="24"/>
          <w:szCs w:val="24"/>
        </w:rPr>
        <w:t xml:space="preserve">Start date </w:t>
      </w:r>
    </w:p>
    <w:p w:rsidR="006157A8" w:rsidRDefault="006157A8" w:rsidP="004D1CD2">
      <w:pPr>
        <w:ind w:left="426" w:hanging="426"/>
      </w:pPr>
    </w:p>
    <w:p w:rsidR="006157A8" w:rsidRDefault="006157A8" w:rsidP="00BC6327">
      <w:pPr>
        <w:pStyle w:val="ListParagraph"/>
        <w:numPr>
          <w:ilvl w:val="0"/>
          <w:numId w:val="4"/>
        </w:numPr>
        <w:ind w:left="426" w:right="-427" w:hanging="426"/>
        <w:rPr>
          <w:b/>
          <w:sz w:val="24"/>
          <w:szCs w:val="24"/>
        </w:rPr>
      </w:pPr>
      <w:r w:rsidRPr="004D1CD2">
        <w:rPr>
          <w:b/>
          <w:sz w:val="24"/>
          <w:szCs w:val="24"/>
        </w:rPr>
        <w:t>Completion date</w:t>
      </w:r>
      <w:r w:rsidR="00AC5ED2">
        <w:rPr>
          <w:b/>
          <w:sz w:val="24"/>
          <w:szCs w:val="24"/>
        </w:rPr>
        <w:t xml:space="preserve"> </w:t>
      </w:r>
      <w:r w:rsidR="00AC5ED2" w:rsidRPr="00BC6327">
        <w:rPr>
          <w:sz w:val="24"/>
          <w:szCs w:val="24"/>
        </w:rPr>
        <w:t>(</w:t>
      </w:r>
      <w:r w:rsidR="00582014">
        <w:rPr>
          <w:sz w:val="24"/>
          <w:szCs w:val="24"/>
        </w:rPr>
        <w:t>funds must be spend</w:t>
      </w:r>
      <w:r w:rsidR="00AC5ED2" w:rsidRPr="00BC6327">
        <w:rPr>
          <w:sz w:val="24"/>
          <w:szCs w:val="24"/>
        </w:rPr>
        <w:t xml:space="preserve"> before 31 July 2020</w:t>
      </w:r>
      <w:r w:rsidR="00582014">
        <w:rPr>
          <w:sz w:val="24"/>
          <w:szCs w:val="24"/>
        </w:rPr>
        <w:t>, even if project completion falls later)</w:t>
      </w:r>
    </w:p>
    <w:p w:rsidR="00937D66" w:rsidRDefault="00937D66" w:rsidP="00BC6327"/>
    <w:p w:rsidR="004A78D7" w:rsidRDefault="00BC6327" w:rsidP="004A78D7">
      <w:r>
        <w:t xml:space="preserve">Please submit your application by 24 July 2020 </w:t>
      </w:r>
      <w:r w:rsidR="00937D66">
        <w:t xml:space="preserve">to Sue Baxter (Director, Innovation &amp; Business Partnerships) </w:t>
      </w:r>
      <w:r>
        <w:t>and y</w:t>
      </w:r>
      <w:r w:rsidR="00D84353">
        <w:t xml:space="preserve">ou will be contacted </w:t>
      </w:r>
      <w:r>
        <w:t xml:space="preserve">to discuss </w:t>
      </w:r>
      <w:r w:rsidR="00937D66">
        <w:t>it</w:t>
      </w:r>
      <w:r w:rsidR="00D84353">
        <w:t xml:space="preserve"> within 24 hours.</w:t>
      </w:r>
      <w:r w:rsidR="004A78D7">
        <w:br w:type="page"/>
      </w:r>
    </w:p>
    <w:p w:rsid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/>
          <w:bCs/>
          <w:iCs/>
          <w:sz w:val="26"/>
          <w:szCs w:val="26"/>
          <w:lang w:eastAsia="en-GB"/>
        </w:rPr>
      </w:pPr>
      <w:r>
        <w:rPr>
          <w:rFonts w:asciiTheme="minorHAnsi" w:eastAsia="Times New Roman" w:hAnsiTheme="minorHAnsi" w:cs="Arial"/>
          <w:b/>
          <w:bCs/>
          <w:iCs/>
          <w:sz w:val="26"/>
          <w:szCs w:val="26"/>
          <w:lang w:eastAsia="en-GB"/>
        </w:rPr>
        <w:t>BACKGROUND INFO</w:t>
      </w:r>
      <w:r w:rsidR="00EB2A05">
        <w:rPr>
          <w:rFonts w:asciiTheme="minorHAnsi" w:eastAsia="Times New Roman" w:hAnsiTheme="minorHAnsi" w:cs="Arial"/>
          <w:b/>
          <w:bCs/>
          <w:iCs/>
          <w:sz w:val="26"/>
          <w:szCs w:val="26"/>
          <w:lang w:eastAsia="en-GB"/>
        </w:rPr>
        <w:t>RMATION: WHAT IS THE HIGHER EDUCATION INNOVATION FUND?</w:t>
      </w:r>
    </w:p>
    <w:p w:rsid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/>
          <w:bCs/>
          <w:iCs/>
          <w:sz w:val="26"/>
          <w:szCs w:val="26"/>
          <w:lang w:eastAsia="en-GB"/>
        </w:rPr>
      </w:pPr>
    </w:p>
    <w:p w:rsidR="004A78D7" w:rsidRP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/>
          <w:sz w:val="26"/>
          <w:szCs w:val="26"/>
          <w:lang w:eastAsia="en-GB"/>
        </w:rPr>
      </w:pPr>
      <w:r w:rsidRPr="004A78D7">
        <w:rPr>
          <w:rFonts w:asciiTheme="minorHAnsi" w:eastAsia="Times New Roman" w:hAnsiTheme="minorHAnsi" w:cs="Arial"/>
          <w:b/>
          <w:bCs/>
          <w:iCs/>
          <w:sz w:val="26"/>
          <w:szCs w:val="26"/>
          <w:lang w:eastAsia="en-GB"/>
        </w:rPr>
        <w:t xml:space="preserve">HEIF Aims </w:t>
      </w:r>
      <w:r w:rsidRPr="004A78D7">
        <w:rPr>
          <w:rFonts w:asciiTheme="minorHAnsi" w:eastAsia="Times New Roman" w:hAnsiTheme="minorHAnsi" w:cs="Arial"/>
          <w:bCs/>
          <w:iCs/>
          <w:sz w:val="26"/>
          <w:szCs w:val="26"/>
          <w:lang w:eastAsia="en-GB"/>
        </w:rPr>
        <w:t>(from Research England website)</w:t>
      </w:r>
    </w:p>
    <w:p w:rsid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iCs/>
          <w:sz w:val="24"/>
          <w:szCs w:val="24"/>
          <w:lang w:eastAsia="en-GB"/>
        </w:rPr>
      </w:pPr>
      <w:r w:rsidRPr="004A78D7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 xml:space="preserve">The aim of HEIF is to create and sustain a range of KE activities in response to demand across the economy and society.  It is designed to support and develop a broad range of knowledge-based interactions between HEPs and the wider world, which result in economic and societal benefit to the UK.  </w:t>
      </w:r>
    </w:p>
    <w:p w:rsidR="004A78D7" w:rsidRP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iCs/>
          <w:sz w:val="24"/>
          <w:szCs w:val="24"/>
          <w:lang w:eastAsia="en-GB"/>
        </w:rPr>
      </w:pPr>
      <w:r w:rsidRPr="004A78D7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>In September 2019, the Universities Minister Chris Skidmore announced a </w:t>
      </w:r>
      <w:hyperlink r:id="rId5" w:history="1">
        <w:r w:rsidRPr="004A78D7">
          <w:rPr>
            <w:rFonts w:asciiTheme="minorHAnsi" w:eastAsia="Times New Roman" w:hAnsiTheme="minorHAnsi" w:cs="Arial"/>
            <w:iCs/>
            <w:sz w:val="24"/>
            <w:szCs w:val="24"/>
            <w:lang w:eastAsia="en-GB"/>
          </w:rPr>
          <w:t>new strategic direction for university knowledge exchange funding</w:t>
        </w:r>
      </w:hyperlink>
      <w:r w:rsidRPr="004A78D7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> to drive the high performance needed to deliver the government's commitment to raise research and development investment to 2.4% of GDP. This included confirmation that that the total amount of HEIF funding will increase by £25 million in 2020-21.</w:t>
      </w:r>
    </w:p>
    <w:p w:rsidR="004A78D7" w:rsidRP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/>
          <w:bCs/>
          <w:iCs/>
          <w:sz w:val="12"/>
          <w:szCs w:val="12"/>
          <w:lang w:eastAsia="en-GB"/>
        </w:rPr>
      </w:pPr>
    </w:p>
    <w:p w:rsidR="004A78D7" w:rsidRP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/>
          <w:bCs/>
          <w:iCs/>
          <w:sz w:val="26"/>
          <w:szCs w:val="26"/>
          <w:lang w:eastAsia="en-GB"/>
        </w:rPr>
      </w:pPr>
      <w:r w:rsidRPr="004A78D7">
        <w:rPr>
          <w:rFonts w:asciiTheme="minorHAnsi" w:eastAsia="Times New Roman" w:hAnsiTheme="minorHAnsi" w:cs="Arial"/>
          <w:b/>
          <w:bCs/>
          <w:iCs/>
          <w:sz w:val="26"/>
          <w:szCs w:val="26"/>
          <w:lang w:eastAsia="en-GB"/>
        </w:rPr>
        <w:t xml:space="preserve">What HEIF supports </w:t>
      </w:r>
      <w:r w:rsidRPr="004A78D7">
        <w:rPr>
          <w:rFonts w:asciiTheme="minorHAnsi" w:eastAsia="Times New Roman" w:hAnsiTheme="minorHAnsi" w:cs="Arial"/>
          <w:bCs/>
          <w:iCs/>
          <w:sz w:val="26"/>
          <w:szCs w:val="26"/>
          <w:lang w:eastAsia="en-GB"/>
        </w:rPr>
        <w:t>(from Research England website)</w:t>
      </w:r>
    </w:p>
    <w:p w:rsidR="004A78D7" w:rsidRP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iCs/>
          <w:sz w:val="24"/>
          <w:szCs w:val="24"/>
          <w:lang w:eastAsia="en-GB"/>
        </w:rPr>
      </w:pPr>
      <w:r w:rsidRPr="004A78D7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>HEIF supports and incentivises providers to work with business, public and third-sector organisations community bodies and the wider public, to exchange knowledge and increase the economic and societal benefit from their work.  HEIF provides a strong return on investment, with £9.30 generated for every £1 of funding (at national level).</w:t>
      </w:r>
    </w:p>
    <w:p w:rsidR="004A78D7" w:rsidRP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/>
          <w:bCs/>
          <w:sz w:val="12"/>
          <w:szCs w:val="12"/>
          <w:lang w:eastAsia="en-GB"/>
        </w:rPr>
      </w:pPr>
    </w:p>
    <w:p w:rsidR="00EB2A05" w:rsidRPr="00AE70D2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/>
          <w:iCs/>
          <w:sz w:val="26"/>
          <w:szCs w:val="26"/>
          <w:lang w:eastAsia="en-GB"/>
        </w:rPr>
      </w:pPr>
      <w:r w:rsidRPr="004A78D7">
        <w:rPr>
          <w:rFonts w:asciiTheme="minorHAnsi" w:eastAsia="Times New Roman" w:hAnsiTheme="minorHAnsi" w:cs="Arial"/>
          <w:b/>
          <w:iCs/>
          <w:sz w:val="26"/>
          <w:szCs w:val="26"/>
          <w:lang w:eastAsia="en-GB"/>
        </w:rPr>
        <w:t xml:space="preserve">How </w:t>
      </w:r>
      <w:r w:rsidR="00EB2A05" w:rsidRPr="00AE70D2">
        <w:rPr>
          <w:rFonts w:asciiTheme="minorHAnsi" w:eastAsia="Times New Roman" w:hAnsiTheme="minorHAnsi" w:cs="Arial"/>
          <w:b/>
          <w:iCs/>
          <w:sz w:val="26"/>
          <w:szCs w:val="26"/>
          <w:lang w:eastAsia="en-GB"/>
        </w:rPr>
        <w:t>do u</w:t>
      </w:r>
      <w:r w:rsidRPr="004A78D7">
        <w:rPr>
          <w:rFonts w:asciiTheme="minorHAnsi" w:eastAsia="Times New Roman" w:hAnsiTheme="minorHAnsi" w:cs="Arial"/>
          <w:b/>
          <w:iCs/>
          <w:sz w:val="26"/>
          <w:szCs w:val="26"/>
          <w:lang w:eastAsia="en-GB"/>
        </w:rPr>
        <w:t>niversities</w:t>
      </w:r>
      <w:r w:rsidR="00EB2A05" w:rsidRPr="00AE70D2">
        <w:rPr>
          <w:rFonts w:asciiTheme="minorHAnsi" w:eastAsia="Times New Roman" w:hAnsiTheme="minorHAnsi" w:cs="Arial"/>
          <w:b/>
          <w:iCs/>
          <w:sz w:val="26"/>
          <w:szCs w:val="26"/>
          <w:lang w:eastAsia="en-GB"/>
        </w:rPr>
        <w:t xml:space="preserve"> access HEIF?</w:t>
      </w:r>
    </w:p>
    <w:p w:rsidR="009D7F26" w:rsidRDefault="005C741E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iCs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 xml:space="preserve">The national HEIF budget of £210m </w:t>
      </w:r>
      <w:r w:rsidR="00AE70D2" w:rsidRPr="00AE70D2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>is allocated annually to uni</w:t>
      </w:r>
      <w:r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>versities on the basis of the</w:t>
      </w:r>
      <w:r w:rsidR="009D7F26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>ir</w:t>
      </w:r>
      <w:r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 xml:space="preserve"> </w:t>
      </w:r>
      <w:r w:rsidR="00AE70D2" w:rsidRPr="00AE70D2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 xml:space="preserve">relative </w:t>
      </w:r>
      <w:r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 xml:space="preserve">income from knowledge exchange activities </w:t>
      </w:r>
      <w:r w:rsidR="00AE70D2" w:rsidRPr="00AE70D2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 xml:space="preserve">reported to the </w:t>
      </w:r>
      <w:hyperlink r:id="rId6" w:history="1">
        <w:r w:rsidR="00AE70D2" w:rsidRPr="00AE70D2">
          <w:rPr>
            <w:rFonts w:asciiTheme="minorHAnsi" w:eastAsia="Times New Roman" w:hAnsiTheme="minorHAnsi" w:cs="Arial"/>
            <w:iCs/>
            <w:sz w:val="24"/>
            <w:szCs w:val="24"/>
            <w:lang w:eastAsia="en-GB"/>
          </w:rPr>
          <w:t>Higher Education Business and Community Interaction (HE-BCI) survey</w:t>
        </w:r>
      </w:hyperlink>
      <w:r w:rsidR="00AE70D2" w:rsidRPr="00AE70D2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> and other data, underpinned by</w:t>
      </w:r>
      <w:r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 xml:space="preserve"> institutional strategies for knowledge exchange</w:t>
      </w:r>
      <w:r w:rsidR="00AE70D2" w:rsidRPr="00AE70D2">
        <w:rPr>
          <w:rFonts w:asciiTheme="minorHAnsi" w:eastAsia="Times New Roman" w:hAnsiTheme="minorHAnsi" w:cs="Arial"/>
          <w:iCs/>
          <w:sz w:val="24"/>
          <w:szCs w:val="24"/>
          <w:lang w:eastAsia="en-GB"/>
        </w:rPr>
        <w:t>.</w:t>
      </w:r>
    </w:p>
    <w:p w:rsidR="009D7F26" w:rsidRPr="009D7F26" w:rsidRDefault="009D7F26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iCs/>
          <w:sz w:val="12"/>
          <w:szCs w:val="12"/>
          <w:lang w:eastAsia="en-GB"/>
        </w:rPr>
      </w:pPr>
    </w:p>
    <w:p w:rsidR="004A78D7" w:rsidRPr="004A78D7" w:rsidRDefault="009D7F26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iCs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b/>
          <w:bCs/>
          <w:sz w:val="26"/>
          <w:szCs w:val="26"/>
          <w:lang w:eastAsia="en-GB"/>
        </w:rPr>
        <w:t>Performance Assessment of HEIF</w:t>
      </w:r>
      <w:r w:rsidR="004A78D7" w:rsidRPr="004A78D7">
        <w:rPr>
          <w:rFonts w:asciiTheme="minorHAnsi" w:eastAsia="Times New Roman" w:hAnsiTheme="minorHAnsi" w:cs="Arial"/>
          <w:b/>
          <w:bCs/>
          <w:sz w:val="26"/>
          <w:szCs w:val="26"/>
          <w:lang w:eastAsia="en-GB"/>
        </w:rPr>
        <w:t>: the Knowledge Exchange Framework</w:t>
      </w:r>
    </w:p>
    <w:p w:rsidR="004A78D7" w:rsidRDefault="009D7F26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From late 2020, u</w:t>
      </w:r>
      <w:r w:rsidR="004A78D7" w:rsidRPr="004A78D7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 xml:space="preserve">niversities in receipt of HEIF will be benchmarked against their comparators </w:t>
      </w:r>
      <w:r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on the basis of the criteria listed below and in future years, universities’ HEIF allocations will be pegged to their relative performance in each of these areas</w:t>
      </w:r>
      <w:r w:rsidR="004A78D7" w:rsidRPr="004A78D7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:</w:t>
      </w:r>
    </w:p>
    <w:p w:rsidR="00EB2A05" w:rsidRPr="00EB2A05" w:rsidRDefault="00EB2A05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Cs/>
          <w:sz w:val="8"/>
          <w:szCs w:val="8"/>
          <w:lang w:eastAsia="en-GB"/>
        </w:rPr>
      </w:pPr>
    </w:p>
    <w:p w:rsidR="004A78D7" w:rsidRPr="00EB2A05" w:rsidRDefault="004A78D7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Collaborative research income</w:t>
      </w:r>
    </w:p>
    <w:p w:rsidR="004A78D7" w:rsidRPr="00EB2A05" w:rsidRDefault="004A78D7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Co-authorship with non-academic partners</w:t>
      </w:r>
    </w:p>
    <w:p w:rsidR="004A78D7" w:rsidRPr="00EB2A05" w:rsidRDefault="004A78D7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Innovate UK income</w:t>
      </w:r>
    </w:p>
    <w:p w:rsidR="004A78D7" w:rsidRPr="00EB2A05" w:rsidRDefault="004A78D7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 xml:space="preserve">Contract research income – businesses &amp; public / third sector </w:t>
      </w:r>
    </w:p>
    <w:p w:rsidR="004A78D7" w:rsidRPr="00EB2A05" w:rsidRDefault="004A78D7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 xml:space="preserve">Consultancy income </w:t>
      </w:r>
      <w:r w:rsidR="00EB2A05"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– business &amp; public / third sector</w:t>
      </w:r>
    </w:p>
    <w:p w:rsidR="00EB2A05" w:rsidRPr="00EB2A05" w:rsidRDefault="00EB2A05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CPD income</w:t>
      </w:r>
    </w:p>
    <w:p w:rsidR="00EB2A05" w:rsidRPr="00EB2A05" w:rsidRDefault="00EB2A05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 xml:space="preserve">CPD Learner days delivered </w:t>
      </w:r>
    </w:p>
    <w:p w:rsidR="00EB2A05" w:rsidRPr="00EB2A05" w:rsidRDefault="00EB2A05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New graduate start ups</w:t>
      </w:r>
    </w:p>
    <w:p w:rsidR="00EB2A05" w:rsidRPr="00EB2A05" w:rsidRDefault="00EB2A05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Income from local growth programmes</w:t>
      </w:r>
    </w:p>
    <w:p w:rsidR="00EB2A05" w:rsidRPr="00EB2A05" w:rsidRDefault="00EB2A05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Turnover per spin out</w:t>
      </w:r>
    </w:p>
    <w:p w:rsidR="00EB2A05" w:rsidRPr="00EB2A05" w:rsidRDefault="00EB2A05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External investment per spin-out</w:t>
      </w:r>
    </w:p>
    <w:p w:rsidR="00EB2A05" w:rsidRPr="00EB2A05" w:rsidRDefault="00EB2A05" w:rsidP="00EB2A05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80"/>
        <w:ind w:left="714" w:hanging="357"/>
        <w:contextualSpacing w:val="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  <w:r w:rsidRPr="00EB2A05">
        <w:rPr>
          <w:rFonts w:asciiTheme="minorHAnsi" w:eastAsia="Times New Roman" w:hAnsiTheme="minorHAnsi" w:cs="Arial"/>
          <w:bCs/>
          <w:sz w:val="24"/>
          <w:szCs w:val="24"/>
          <w:lang w:eastAsia="en-GB"/>
        </w:rPr>
        <w:t>Licensing and other IP related income</w:t>
      </w:r>
    </w:p>
    <w:p w:rsidR="004A78D7" w:rsidRDefault="004A78D7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</w:p>
    <w:p w:rsidR="00EB2A05" w:rsidRPr="004A78D7" w:rsidRDefault="00EB2A05" w:rsidP="004A78D7">
      <w:pPr>
        <w:shd w:val="clear" w:color="auto" w:fill="FFFFFF"/>
        <w:snapToGrid w:val="0"/>
        <w:spacing w:after="80"/>
        <w:rPr>
          <w:rFonts w:asciiTheme="minorHAnsi" w:eastAsia="Times New Roman" w:hAnsiTheme="minorHAnsi" w:cs="Arial"/>
          <w:bCs/>
          <w:sz w:val="24"/>
          <w:szCs w:val="24"/>
          <w:lang w:eastAsia="en-GB"/>
        </w:rPr>
      </w:pPr>
    </w:p>
    <w:sectPr w:rsidR="00EB2A05" w:rsidRPr="004A78D7" w:rsidSect="00937D6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D1E"/>
    <w:multiLevelType w:val="hybridMultilevel"/>
    <w:tmpl w:val="6EBA6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7D88"/>
    <w:multiLevelType w:val="hybridMultilevel"/>
    <w:tmpl w:val="61661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5465"/>
    <w:multiLevelType w:val="hybridMultilevel"/>
    <w:tmpl w:val="BBBE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0054"/>
    <w:multiLevelType w:val="hybridMultilevel"/>
    <w:tmpl w:val="AC888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45"/>
    <w:rsid w:val="0017273A"/>
    <w:rsid w:val="002B7E98"/>
    <w:rsid w:val="003C5E70"/>
    <w:rsid w:val="003D592F"/>
    <w:rsid w:val="00457488"/>
    <w:rsid w:val="004A78D7"/>
    <w:rsid w:val="004D1CD2"/>
    <w:rsid w:val="004D7A0E"/>
    <w:rsid w:val="00582014"/>
    <w:rsid w:val="005C741E"/>
    <w:rsid w:val="006157A8"/>
    <w:rsid w:val="00625FB2"/>
    <w:rsid w:val="006515CA"/>
    <w:rsid w:val="00670926"/>
    <w:rsid w:val="006E3EBF"/>
    <w:rsid w:val="007F2393"/>
    <w:rsid w:val="00937D66"/>
    <w:rsid w:val="009D7F26"/>
    <w:rsid w:val="00AA763A"/>
    <w:rsid w:val="00AC5ED2"/>
    <w:rsid w:val="00AE70D2"/>
    <w:rsid w:val="00B23A9B"/>
    <w:rsid w:val="00B41272"/>
    <w:rsid w:val="00B7174F"/>
    <w:rsid w:val="00BC6327"/>
    <w:rsid w:val="00BE629C"/>
    <w:rsid w:val="00C66B65"/>
    <w:rsid w:val="00D2587A"/>
    <w:rsid w:val="00D84353"/>
    <w:rsid w:val="00E87A89"/>
    <w:rsid w:val="00EB2A05"/>
    <w:rsid w:val="00F2728A"/>
    <w:rsid w:val="00F41345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58E43-BBC0-4A11-83B0-1087B00F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3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28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28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A78D7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.ukri.org/knowledge-exchange/the-he-bci-survey/" TargetMode="External"/><Relationship Id="rId5" Type="http://schemas.openxmlformats.org/officeDocument/2006/relationships/hyperlink" Target="https://re.ukri.org/news-opinions-events/news/minister-announces-new-direction-for-knowledge-exchange-fun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2F4F73C3</Template>
  <TotalTime>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Baxter</dc:creator>
  <cp:keywords/>
  <dc:description/>
  <cp:lastModifiedBy>Sue Baxter</cp:lastModifiedBy>
  <cp:revision>2</cp:revision>
  <dcterms:created xsi:type="dcterms:W3CDTF">2020-05-29T12:01:00Z</dcterms:created>
  <dcterms:modified xsi:type="dcterms:W3CDTF">2020-05-29T12:01:00Z</dcterms:modified>
</cp:coreProperties>
</file>