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r w:rsidRPr="00DE0806">
        <w:rPr>
          <w:rFonts w:ascii="Arial" w:hAnsi="Arial" w:cs="Arial"/>
          <w:b/>
          <w:noProof/>
          <w:lang w:eastAsia="en-GB"/>
        </w:rPr>
        <w:drawing>
          <wp:anchor distT="0" distB="0" distL="114300" distR="114300" simplePos="0" relativeHeight="251659264" behindDoc="0" locked="0" layoutInCell="1" allowOverlap="1" wp14:anchorId="427A9BAC" wp14:editId="74B2F7F0">
            <wp:simplePos x="0" y="0"/>
            <wp:positionH relativeFrom="column">
              <wp:posOffset>4591050</wp:posOffset>
            </wp:positionH>
            <wp:positionV relativeFrom="paragraph">
              <wp:posOffset>-412750</wp:posOffset>
            </wp:positionV>
            <wp:extent cx="1419225" cy="590550"/>
            <wp:effectExtent l="0" t="0" r="9525" b="0"/>
            <wp:wrapNone/>
            <wp:docPr id="2" name="Picture 2" descr="Us_pos_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pos_K copy"/>
                    <pic:cNvPicPr>
                      <a:picLocks noChangeAspect="1" noChangeArrowheads="1"/>
                    </pic:cNvPicPr>
                  </pic:nvPicPr>
                  <pic:blipFill>
                    <a:blip r:embed="rId5" cstate="print">
                      <a:extLst>
                        <a:ext uri="{28A0092B-C50C-407E-A947-70E740481C1C}">
                          <a14:useLocalDpi xmlns:a14="http://schemas.microsoft.com/office/drawing/2010/main" val="0"/>
                        </a:ext>
                      </a:extLst>
                    </a:blip>
                    <a:srcRect l="11618" t="22519" r="10457" b="23941"/>
                    <a:stretch>
                      <a:fillRect/>
                    </a:stretch>
                  </pic:blipFill>
                  <pic:spPr bwMode="auto">
                    <a:xfrm>
                      <a:off x="0" y="0"/>
                      <a:ext cx="14192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Cs/>
          <w:color w:val="000000"/>
        </w:rPr>
        <w:t xml:space="preserve">ACADEMIC DEVELOPMENT AND </w:t>
      </w:r>
    </w:p>
    <w:p w:rsid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r>
        <w:rPr>
          <w:rFonts w:ascii="Arial" w:eastAsia="Times New Roman" w:hAnsi="Arial" w:cs="Arial"/>
          <w:bCs/>
          <w:color w:val="000000"/>
        </w:rPr>
        <w:t>QUALITY ENHANCEMENT OFFICE</w:t>
      </w:r>
    </w:p>
    <w:p w:rsid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p>
    <w:p w:rsidR="009D7995" w:rsidRPr="009D7995" w:rsidRDefault="009D7995" w:rsidP="009D7995">
      <w:pPr>
        <w:tabs>
          <w:tab w:val="left" w:pos="709"/>
        </w:tabs>
        <w:spacing w:line="240" w:lineRule="auto"/>
        <w:ind w:left="709" w:hanging="709"/>
        <w:contextualSpacing/>
        <w:jc w:val="both"/>
        <w:rPr>
          <w:rFonts w:ascii="Arial" w:eastAsia="Times New Roman" w:hAnsi="Arial" w:cs="Arial"/>
          <w:b/>
          <w:bCs/>
          <w:color w:val="000000"/>
        </w:rPr>
      </w:pPr>
      <w:r w:rsidRPr="009D7995">
        <w:rPr>
          <w:rFonts w:ascii="Arial" w:eastAsia="Times New Roman" w:hAnsi="Arial" w:cs="Arial"/>
          <w:b/>
          <w:bCs/>
          <w:color w:val="000000"/>
        </w:rPr>
        <w:t>Principles of Assessment and Feedback at the University of Sussex</w:t>
      </w:r>
    </w:p>
    <w:p w:rsid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p>
    <w:p w:rsidR="009D7995" w:rsidRDefault="009D7995" w:rsidP="009D7995">
      <w:pPr>
        <w:tabs>
          <w:tab w:val="left" w:pos="0"/>
        </w:tabs>
        <w:spacing w:line="240" w:lineRule="auto"/>
        <w:contextualSpacing/>
        <w:jc w:val="both"/>
        <w:rPr>
          <w:rFonts w:ascii="Arial" w:eastAsia="Times New Roman" w:hAnsi="Arial" w:cs="Arial"/>
          <w:bCs/>
          <w:color w:val="000000"/>
        </w:rPr>
      </w:pPr>
      <w:r>
        <w:rPr>
          <w:rFonts w:ascii="Arial" w:eastAsia="Times New Roman" w:hAnsi="Arial" w:cs="Arial"/>
          <w:bCs/>
          <w:color w:val="000000"/>
        </w:rPr>
        <w:t>The University Teaching and Learning Committee approved the following principles of Assessment a</w:t>
      </w:r>
      <w:r>
        <w:rPr>
          <w:rFonts w:ascii="Arial" w:eastAsia="Times New Roman" w:hAnsi="Arial" w:cs="Arial"/>
          <w:bCs/>
          <w:color w:val="000000"/>
        </w:rPr>
        <w:t>nd Feedback for the University at its March 2015 meeting.</w:t>
      </w:r>
    </w:p>
    <w:p w:rsidR="009D7995" w:rsidRDefault="009D7995" w:rsidP="009D7995">
      <w:pPr>
        <w:tabs>
          <w:tab w:val="left" w:pos="0"/>
        </w:tabs>
        <w:spacing w:line="240" w:lineRule="auto"/>
        <w:contextualSpacing/>
        <w:jc w:val="both"/>
        <w:rPr>
          <w:rFonts w:ascii="Arial" w:eastAsia="Times New Roman" w:hAnsi="Arial" w:cs="Arial"/>
          <w:bCs/>
          <w:color w:val="000000"/>
        </w:rPr>
      </w:pPr>
    </w:p>
    <w:p w:rsidR="009D7995" w:rsidRPr="009D7995" w:rsidRDefault="009D7995" w:rsidP="009D7995">
      <w:pPr>
        <w:tabs>
          <w:tab w:val="left" w:pos="709"/>
        </w:tabs>
        <w:spacing w:line="240" w:lineRule="auto"/>
        <w:contextualSpacing/>
        <w:jc w:val="both"/>
        <w:rPr>
          <w:rFonts w:ascii="Arial" w:eastAsia="Times New Roman" w:hAnsi="Arial" w:cs="Arial"/>
          <w:bCs/>
          <w:color w:val="000000"/>
        </w:rPr>
      </w:pPr>
      <w:r w:rsidRPr="009D7995">
        <w:rPr>
          <w:rFonts w:ascii="Arial" w:eastAsia="Times New Roman" w:hAnsi="Arial" w:cs="Arial"/>
          <w:bCs/>
          <w:color w:val="000000"/>
        </w:rPr>
        <w:t>The University of Sussex is committed to inclusive teaching a</w:t>
      </w:r>
      <w:r w:rsidRPr="009D7995">
        <w:rPr>
          <w:rFonts w:ascii="Arial" w:eastAsia="Times New Roman" w:hAnsi="Arial" w:cs="Arial"/>
          <w:bCs/>
          <w:color w:val="000000"/>
        </w:rPr>
        <w:t xml:space="preserve">nd learning and seeks to create </w:t>
      </w:r>
      <w:r w:rsidRPr="009D7995">
        <w:rPr>
          <w:rFonts w:ascii="Arial" w:eastAsia="Times New Roman" w:hAnsi="Arial" w:cs="Arial"/>
          <w:bCs/>
          <w:color w:val="000000"/>
        </w:rPr>
        <w:t xml:space="preserve">the conditions to enable all students to achieve the learning outcomes for their award and to reach their full academic potential. This approach to teaching and learning requires assessment design and scheduling to be conducted in a manner conducive to supporting student learning and workload management. </w:t>
      </w:r>
    </w:p>
    <w:p w:rsidR="009D7995" w:rsidRPr="009D7995" w:rsidRDefault="009D7995" w:rsidP="009D7995">
      <w:pPr>
        <w:spacing w:line="240" w:lineRule="auto"/>
        <w:contextualSpacing/>
        <w:jc w:val="both"/>
        <w:rPr>
          <w:rFonts w:ascii="Arial" w:eastAsia="Times New Roman" w:hAnsi="Arial" w:cs="Arial"/>
          <w:bCs/>
          <w:color w:val="000000"/>
        </w:rPr>
      </w:pPr>
      <w:r w:rsidRPr="009D7995">
        <w:rPr>
          <w:rFonts w:ascii="Arial" w:eastAsia="Times New Roman" w:hAnsi="Arial" w:cs="Arial"/>
          <w:bCs/>
          <w:color w:val="000000"/>
        </w:rPr>
        <w:tab/>
      </w:r>
    </w:p>
    <w:p w:rsidR="009D7995" w:rsidRPr="009D7995" w:rsidRDefault="009D7995" w:rsidP="009D7995">
      <w:pPr>
        <w:spacing w:line="240" w:lineRule="auto"/>
        <w:contextualSpacing/>
        <w:jc w:val="both"/>
        <w:rPr>
          <w:rFonts w:ascii="Arial" w:eastAsia="Times New Roman" w:hAnsi="Arial" w:cs="Arial"/>
          <w:bCs/>
          <w:color w:val="000000"/>
        </w:rPr>
      </w:pPr>
      <w:r w:rsidRPr="009D7995">
        <w:rPr>
          <w:rFonts w:ascii="Arial" w:eastAsia="Times New Roman" w:hAnsi="Arial" w:cs="Arial"/>
          <w:bCs/>
          <w:color w:val="000000"/>
        </w:rPr>
        <w:t>University Teaching Learning Committee is responsible for the institutional policy and oversight of assessment and feedback. School Teaching and Learning Committees are responsible for oversight of assessment and feedback within subject disciplines and for the implementation of University policy within Schools.</w:t>
      </w:r>
    </w:p>
    <w:p w:rsidR="009D7995" w:rsidRP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p>
    <w:p w:rsidR="009D7995" w:rsidRPr="009D7995" w:rsidRDefault="009D7995" w:rsidP="009D7995">
      <w:pPr>
        <w:tabs>
          <w:tab w:val="left" w:pos="709"/>
        </w:tabs>
        <w:spacing w:line="240" w:lineRule="auto"/>
        <w:contextualSpacing/>
        <w:jc w:val="both"/>
        <w:rPr>
          <w:rFonts w:ascii="Arial" w:eastAsia="Times New Roman" w:hAnsi="Arial" w:cs="Arial"/>
          <w:bCs/>
          <w:color w:val="000000"/>
        </w:rPr>
      </w:pPr>
      <w:r w:rsidRPr="009D7995">
        <w:rPr>
          <w:rFonts w:ascii="Arial" w:eastAsia="Times New Roman" w:hAnsi="Arial" w:cs="Arial"/>
          <w:bCs/>
          <w:color w:val="000000"/>
        </w:rPr>
        <w:t>Assessment and feedback at the University of Sussex is underpinned by the following principles.</w:t>
      </w:r>
    </w:p>
    <w:p w:rsidR="009D7995" w:rsidRPr="009D7995" w:rsidRDefault="009D7995" w:rsidP="009D7995">
      <w:pPr>
        <w:tabs>
          <w:tab w:val="left" w:pos="709"/>
        </w:tabs>
        <w:spacing w:line="240" w:lineRule="auto"/>
        <w:ind w:left="709" w:hanging="709"/>
        <w:contextualSpacing/>
        <w:jc w:val="both"/>
        <w:rPr>
          <w:rFonts w:ascii="Arial" w:eastAsia="Times New Roman" w:hAnsi="Arial" w:cs="Arial"/>
          <w:bCs/>
          <w:color w:val="000000"/>
        </w:rPr>
      </w:pPr>
    </w:p>
    <w:p w:rsidR="009D7995" w:rsidRDefault="009D7995" w:rsidP="009D7995">
      <w:pPr>
        <w:numPr>
          <w:ilvl w:val="0"/>
          <w:numId w:val="1"/>
        </w:numPr>
        <w:tabs>
          <w:tab w:val="left" w:pos="709"/>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Assessments are designed to test learning outcomes at the appropriate level in the QAA Framework for Higher Education Qualifications, and are in proportion to the volume of academic credit for the module;</w:t>
      </w:r>
    </w:p>
    <w:p w:rsidR="009D7995" w:rsidRPr="009D7995" w:rsidRDefault="009D7995" w:rsidP="009D7995">
      <w:pPr>
        <w:tabs>
          <w:tab w:val="left" w:pos="709"/>
        </w:tabs>
        <w:spacing w:line="240" w:lineRule="auto"/>
        <w:ind w:left="709"/>
        <w:contextualSpacing/>
        <w:jc w:val="both"/>
        <w:rPr>
          <w:rFonts w:ascii="Arial" w:eastAsia="Times New Roman" w:hAnsi="Arial" w:cs="Arial"/>
          <w:bCs/>
          <w:color w:val="000000"/>
        </w:rPr>
      </w:pPr>
    </w:p>
    <w:p w:rsidR="009D7995" w:rsidRDefault="009D7995" w:rsidP="009D7995">
      <w:pPr>
        <w:numPr>
          <w:ilvl w:val="0"/>
          <w:numId w:val="1"/>
        </w:numPr>
        <w:tabs>
          <w:tab w:val="left" w:pos="709"/>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Course assessment strategies are clear and include a variety of assessment modes, with both formative and summative elements, to support students with regular opportunities for feedback on their progress;</w:t>
      </w:r>
    </w:p>
    <w:p w:rsidR="009D7995" w:rsidRPr="009D7995" w:rsidRDefault="009D7995" w:rsidP="009D7995">
      <w:pPr>
        <w:tabs>
          <w:tab w:val="left" w:pos="709"/>
        </w:tabs>
        <w:spacing w:line="240" w:lineRule="auto"/>
        <w:ind w:left="709"/>
        <w:contextualSpacing/>
        <w:jc w:val="both"/>
        <w:rPr>
          <w:rFonts w:ascii="Arial" w:eastAsia="Times New Roman" w:hAnsi="Arial" w:cs="Arial"/>
          <w:bCs/>
          <w:color w:val="000000"/>
        </w:rPr>
      </w:pPr>
    </w:p>
    <w:p w:rsidR="009D7995" w:rsidRDefault="009D7995" w:rsidP="009D7995">
      <w:pPr>
        <w:numPr>
          <w:ilvl w:val="0"/>
          <w:numId w:val="1"/>
        </w:numPr>
        <w:tabs>
          <w:tab w:val="left" w:pos="709"/>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Assessments and feedback are scheduled in a manner which ensures that all students are enabled to learn and develop to their full potential by:</w:t>
      </w:r>
    </w:p>
    <w:p w:rsidR="009D7995" w:rsidRDefault="009D7995" w:rsidP="009D7995">
      <w:pPr>
        <w:tabs>
          <w:tab w:val="left" w:pos="709"/>
        </w:tabs>
        <w:spacing w:line="240" w:lineRule="auto"/>
        <w:ind w:left="709" w:hanging="425"/>
        <w:contextualSpacing/>
        <w:jc w:val="both"/>
        <w:rPr>
          <w:rFonts w:ascii="Arial" w:eastAsia="Times New Roman" w:hAnsi="Arial" w:cs="Arial"/>
          <w:bCs/>
          <w:color w:val="000000"/>
        </w:rPr>
      </w:pPr>
    </w:p>
    <w:p w:rsidR="009D7995" w:rsidRPr="009D7995" w:rsidRDefault="009D7995" w:rsidP="009D7995">
      <w:pPr>
        <w:tabs>
          <w:tab w:val="left" w:pos="709"/>
        </w:tabs>
        <w:spacing w:line="240" w:lineRule="auto"/>
        <w:ind w:left="709"/>
        <w:contextualSpacing/>
        <w:jc w:val="both"/>
        <w:rPr>
          <w:rFonts w:ascii="Arial" w:eastAsia="Times New Roman" w:hAnsi="Arial" w:cs="Arial"/>
          <w:bCs/>
          <w:color w:val="000000"/>
        </w:rPr>
      </w:pPr>
      <w:r w:rsidRPr="009D7995">
        <w:rPr>
          <w:rFonts w:ascii="Arial" w:eastAsia="Times New Roman" w:hAnsi="Arial" w:cs="Arial"/>
          <w:bCs/>
          <w:color w:val="000000"/>
        </w:rPr>
        <w:t xml:space="preserve">(a) </w:t>
      </w:r>
      <w:proofErr w:type="gramStart"/>
      <w:r w:rsidRPr="009D7995">
        <w:rPr>
          <w:rFonts w:ascii="Arial" w:eastAsia="Times New Roman" w:hAnsi="Arial" w:cs="Arial"/>
          <w:bCs/>
          <w:color w:val="000000"/>
        </w:rPr>
        <w:t>providing</w:t>
      </w:r>
      <w:proofErr w:type="gramEnd"/>
      <w:r w:rsidRPr="009D7995">
        <w:rPr>
          <w:rFonts w:ascii="Arial" w:eastAsia="Times New Roman" w:hAnsi="Arial" w:cs="Arial"/>
          <w:bCs/>
          <w:color w:val="000000"/>
        </w:rPr>
        <w:t xml:space="preserve"> timely opportunities for ‘feed-forward’ to future assessments; </w:t>
      </w:r>
    </w:p>
    <w:p w:rsidR="009D7995" w:rsidRPr="009D7995" w:rsidRDefault="009D7995" w:rsidP="009D7995">
      <w:pPr>
        <w:tabs>
          <w:tab w:val="left" w:pos="709"/>
          <w:tab w:val="left" w:pos="1701"/>
        </w:tabs>
        <w:spacing w:line="240" w:lineRule="auto"/>
        <w:ind w:left="709"/>
        <w:contextualSpacing/>
        <w:jc w:val="both"/>
        <w:rPr>
          <w:rFonts w:ascii="Arial" w:eastAsia="Times New Roman" w:hAnsi="Arial" w:cs="Arial"/>
          <w:bCs/>
          <w:color w:val="000000"/>
        </w:rPr>
      </w:pPr>
      <w:r w:rsidRPr="009D7995">
        <w:rPr>
          <w:rFonts w:ascii="Arial" w:eastAsia="Times New Roman" w:hAnsi="Arial" w:cs="Arial"/>
          <w:bCs/>
          <w:color w:val="000000"/>
        </w:rPr>
        <w:t xml:space="preserve">(b) </w:t>
      </w:r>
      <w:proofErr w:type="gramStart"/>
      <w:r w:rsidRPr="009D7995">
        <w:rPr>
          <w:rFonts w:ascii="Arial" w:eastAsia="Times New Roman" w:hAnsi="Arial" w:cs="Arial"/>
          <w:bCs/>
          <w:color w:val="000000"/>
        </w:rPr>
        <w:t>providing</w:t>
      </w:r>
      <w:proofErr w:type="gramEnd"/>
      <w:r w:rsidRPr="009D7995">
        <w:rPr>
          <w:rFonts w:ascii="Arial" w:eastAsia="Times New Roman" w:hAnsi="Arial" w:cs="Arial"/>
          <w:bCs/>
          <w:color w:val="000000"/>
        </w:rPr>
        <w:t xml:space="preserve"> the opportunity for effective workload management by students; </w:t>
      </w:r>
    </w:p>
    <w:p w:rsidR="009D7995" w:rsidRPr="009D7995" w:rsidRDefault="009D7995" w:rsidP="009D7995">
      <w:pPr>
        <w:tabs>
          <w:tab w:val="left" w:pos="709"/>
        </w:tabs>
        <w:spacing w:line="240" w:lineRule="auto"/>
        <w:ind w:left="709"/>
        <w:contextualSpacing/>
        <w:jc w:val="both"/>
        <w:rPr>
          <w:rFonts w:ascii="Arial" w:eastAsia="Times New Roman" w:hAnsi="Arial" w:cs="Arial"/>
          <w:bCs/>
          <w:color w:val="000000"/>
        </w:rPr>
      </w:pPr>
      <w:r w:rsidRPr="009D7995">
        <w:rPr>
          <w:rFonts w:ascii="Arial" w:eastAsia="Times New Roman" w:hAnsi="Arial" w:cs="Arial"/>
          <w:bCs/>
          <w:color w:val="000000"/>
        </w:rPr>
        <w:t xml:space="preserve">(c) </w:t>
      </w:r>
      <w:proofErr w:type="gramStart"/>
      <w:r w:rsidRPr="009D7995">
        <w:rPr>
          <w:rFonts w:ascii="Arial" w:eastAsia="Times New Roman" w:hAnsi="Arial" w:cs="Arial"/>
          <w:bCs/>
          <w:color w:val="000000"/>
        </w:rPr>
        <w:t>allowing</w:t>
      </w:r>
      <w:proofErr w:type="gramEnd"/>
      <w:r w:rsidRPr="009D7995">
        <w:rPr>
          <w:rFonts w:ascii="Arial" w:eastAsia="Times New Roman" w:hAnsi="Arial" w:cs="Arial"/>
          <w:bCs/>
          <w:color w:val="000000"/>
        </w:rPr>
        <w:t xml:space="preserve"> for effective student engagement with teaching; and</w:t>
      </w:r>
    </w:p>
    <w:p w:rsidR="009D7995" w:rsidRDefault="009D7995" w:rsidP="009D7995">
      <w:pPr>
        <w:tabs>
          <w:tab w:val="left" w:pos="709"/>
        </w:tabs>
        <w:spacing w:line="240" w:lineRule="auto"/>
        <w:ind w:left="709"/>
        <w:contextualSpacing/>
        <w:jc w:val="both"/>
        <w:rPr>
          <w:rFonts w:ascii="Arial" w:eastAsia="Times New Roman" w:hAnsi="Arial" w:cs="Arial"/>
          <w:bCs/>
          <w:color w:val="000000"/>
        </w:rPr>
      </w:pPr>
      <w:r w:rsidRPr="009D7995">
        <w:rPr>
          <w:rFonts w:ascii="Arial" w:eastAsia="Times New Roman" w:hAnsi="Arial" w:cs="Arial"/>
          <w:bCs/>
          <w:color w:val="000000"/>
        </w:rPr>
        <w:t>(d) allowing for an appropriate spread of the marking load for staff and for all stages of the marking process to take place in a timely manner, in order to support the provision of quality feedback to students.</w:t>
      </w:r>
    </w:p>
    <w:p w:rsidR="009D7995" w:rsidRPr="009D7995" w:rsidRDefault="009D7995" w:rsidP="009D7995">
      <w:pPr>
        <w:tabs>
          <w:tab w:val="left" w:pos="709"/>
        </w:tabs>
        <w:spacing w:line="240" w:lineRule="auto"/>
        <w:ind w:left="709"/>
        <w:contextualSpacing/>
        <w:jc w:val="both"/>
        <w:rPr>
          <w:rFonts w:ascii="Arial" w:eastAsia="Times New Roman" w:hAnsi="Arial" w:cs="Arial"/>
          <w:bCs/>
          <w:color w:val="000000"/>
        </w:rPr>
      </w:pPr>
    </w:p>
    <w:p w:rsidR="009D7995" w:rsidRDefault="009D7995" w:rsidP="009D7995">
      <w:pPr>
        <w:numPr>
          <w:ilvl w:val="0"/>
          <w:numId w:val="1"/>
        </w:numPr>
        <w:tabs>
          <w:tab w:val="left" w:pos="709"/>
          <w:tab w:val="left" w:pos="1843"/>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Equity in assessment and feedback is provided by the provision for ‘reasonable adjustments’ to assessment for students with a registered disability, where this is academically appropriate, provided that the academic standards are maintained.</w:t>
      </w:r>
    </w:p>
    <w:p w:rsidR="009D7995" w:rsidRPr="009D7995" w:rsidRDefault="009D7995" w:rsidP="009D7995">
      <w:pPr>
        <w:tabs>
          <w:tab w:val="left" w:pos="709"/>
          <w:tab w:val="left" w:pos="1843"/>
        </w:tabs>
        <w:spacing w:line="240" w:lineRule="auto"/>
        <w:ind w:left="709"/>
        <w:contextualSpacing/>
        <w:jc w:val="both"/>
        <w:rPr>
          <w:rFonts w:ascii="Arial" w:eastAsia="Times New Roman" w:hAnsi="Arial" w:cs="Arial"/>
          <w:bCs/>
          <w:color w:val="000000"/>
        </w:rPr>
      </w:pPr>
    </w:p>
    <w:p w:rsidR="009D7995" w:rsidRDefault="009D7995" w:rsidP="009D7995">
      <w:pPr>
        <w:numPr>
          <w:ilvl w:val="0"/>
          <w:numId w:val="1"/>
        </w:numPr>
        <w:tabs>
          <w:tab w:val="left" w:pos="709"/>
          <w:tab w:val="left" w:pos="1843"/>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Assessment tasks are designed to maximise academic integrity by supporting students in developing sound academic practice.</w:t>
      </w:r>
    </w:p>
    <w:p w:rsidR="009D7995" w:rsidRPr="009D7995" w:rsidRDefault="009D7995" w:rsidP="009D7995">
      <w:pPr>
        <w:tabs>
          <w:tab w:val="left" w:pos="709"/>
          <w:tab w:val="left" w:pos="1843"/>
        </w:tabs>
        <w:spacing w:line="240" w:lineRule="auto"/>
        <w:ind w:left="709"/>
        <w:contextualSpacing/>
        <w:jc w:val="both"/>
        <w:rPr>
          <w:rFonts w:ascii="Arial" w:eastAsia="Times New Roman" w:hAnsi="Arial" w:cs="Arial"/>
          <w:bCs/>
          <w:color w:val="000000"/>
        </w:rPr>
      </w:pPr>
      <w:bookmarkStart w:id="0" w:name="_GoBack"/>
      <w:bookmarkEnd w:id="0"/>
    </w:p>
    <w:p w:rsidR="009D7995" w:rsidRPr="009D7995" w:rsidRDefault="009D7995" w:rsidP="009D7995">
      <w:pPr>
        <w:numPr>
          <w:ilvl w:val="0"/>
          <w:numId w:val="1"/>
        </w:numPr>
        <w:tabs>
          <w:tab w:val="left" w:pos="709"/>
          <w:tab w:val="left" w:pos="1843"/>
        </w:tabs>
        <w:spacing w:line="240" w:lineRule="auto"/>
        <w:ind w:left="709" w:hanging="425"/>
        <w:contextualSpacing/>
        <w:jc w:val="both"/>
        <w:rPr>
          <w:rFonts w:ascii="Arial" w:eastAsia="Times New Roman" w:hAnsi="Arial" w:cs="Arial"/>
          <w:bCs/>
          <w:color w:val="000000"/>
        </w:rPr>
      </w:pPr>
      <w:r w:rsidRPr="009D7995">
        <w:rPr>
          <w:rFonts w:ascii="Arial" w:eastAsia="Times New Roman" w:hAnsi="Arial" w:cs="Arial"/>
          <w:bCs/>
          <w:color w:val="000000"/>
        </w:rPr>
        <w:t xml:space="preserve">Technology is used to enhance the student experience of assessment and feedback </w:t>
      </w:r>
      <w:proofErr w:type="gramStart"/>
      <w:r w:rsidRPr="009D7995">
        <w:rPr>
          <w:rFonts w:ascii="Arial" w:eastAsia="Times New Roman" w:hAnsi="Arial" w:cs="Arial"/>
          <w:bCs/>
          <w:color w:val="000000"/>
        </w:rPr>
        <w:t>wherever</w:t>
      </w:r>
      <w:proofErr w:type="gramEnd"/>
      <w:r w:rsidRPr="009D7995">
        <w:rPr>
          <w:rFonts w:ascii="Arial" w:eastAsia="Times New Roman" w:hAnsi="Arial" w:cs="Arial"/>
          <w:bCs/>
          <w:color w:val="000000"/>
        </w:rPr>
        <w:t xml:space="preserve"> academically appropriate. </w:t>
      </w:r>
    </w:p>
    <w:p w:rsidR="00D327F1" w:rsidRPr="009D7995" w:rsidRDefault="00D327F1" w:rsidP="009D7995">
      <w:pPr>
        <w:spacing w:line="240" w:lineRule="auto"/>
        <w:contextualSpacing/>
      </w:pPr>
    </w:p>
    <w:sectPr w:rsidR="00D327F1" w:rsidRPr="009D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4099"/>
    <w:multiLevelType w:val="hybridMultilevel"/>
    <w:tmpl w:val="E01886AA"/>
    <w:lvl w:ilvl="0" w:tplc="0409001B">
      <w:start w:val="1"/>
      <w:numFmt w:val="lowerRoman"/>
      <w:lvlText w:val="%1."/>
      <w:lvlJc w:val="righ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95"/>
    <w:rsid w:val="009D7995"/>
    <w:rsid w:val="00D3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4C26-819A-4E91-937D-72B83CAB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B048024C</Template>
  <TotalTime>4</TotalTime>
  <Pages>1</Pages>
  <Words>382</Words>
  <Characters>2183</Characters>
  <Application>Microsoft Office Word</Application>
  <DocSecurity>0</DocSecurity>
  <Lines>18</Lines>
  <Paragraphs>5</Paragraphs>
  <ScaleCrop>false</ScaleCrop>
  <Company>University of Sussex</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Wellings</dc:creator>
  <cp:keywords/>
  <dc:description/>
  <cp:lastModifiedBy>Christopher Wellings</cp:lastModifiedBy>
  <cp:revision>1</cp:revision>
  <dcterms:created xsi:type="dcterms:W3CDTF">2015-09-02T15:26:00Z</dcterms:created>
  <dcterms:modified xsi:type="dcterms:W3CDTF">2015-09-02T15:31:00Z</dcterms:modified>
</cp:coreProperties>
</file>