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5A719" w14:textId="77777777" w:rsidR="00AD3667" w:rsidRDefault="00AA1ED0" w:rsidP="00AA1ED0">
      <w:pPr>
        <w:jc w:val="center"/>
      </w:pPr>
      <w:r>
        <w:rPr>
          <w:noProof/>
          <w:lang w:eastAsia="en-GB"/>
        </w:rPr>
        <w:drawing>
          <wp:inline distT="0" distB="0" distL="0" distR="0" wp14:anchorId="473F04DE" wp14:editId="57AAA0F3">
            <wp:extent cx="777240" cy="683679"/>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a:stretch>
                      <a:fillRect/>
                    </a:stretch>
                  </pic:blipFill>
                  <pic:spPr>
                    <a:xfrm>
                      <a:off x="0" y="0"/>
                      <a:ext cx="777240" cy="683679"/>
                    </a:xfrm>
                    <a:prstGeom prst="rect">
                      <a:avLst/>
                    </a:prstGeom>
                  </pic:spPr>
                </pic:pic>
              </a:graphicData>
            </a:graphic>
          </wp:inline>
        </w:drawing>
      </w:r>
    </w:p>
    <w:p w14:paraId="1608530F" w14:textId="77777777" w:rsidR="00AA1ED0" w:rsidRDefault="00AA1ED0" w:rsidP="00AA1ED0">
      <w:pPr>
        <w:jc w:val="center"/>
      </w:pPr>
    </w:p>
    <w:p w14:paraId="5DE2709C" w14:textId="399090CF" w:rsidR="00CC7CC4" w:rsidRDefault="00CC7CC4" w:rsidP="00CC7CC4">
      <w:pPr>
        <w:spacing w:after="0"/>
        <w:jc w:val="center"/>
        <w:rPr>
          <w:rFonts w:ascii="Calibri" w:hAnsi="Calibri"/>
          <w:b/>
          <w:sz w:val="28"/>
          <w:szCs w:val="28"/>
        </w:rPr>
      </w:pPr>
      <w:r>
        <w:rPr>
          <w:rFonts w:ascii="Calibri" w:hAnsi="Calibri"/>
          <w:b/>
          <w:sz w:val="28"/>
          <w:szCs w:val="28"/>
        </w:rPr>
        <w:t xml:space="preserve">Joint Call </w:t>
      </w:r>
    </w:p>
    <w:p w14:paraId="2211C51F" w14:textId="30523C5C" w:rsidR="00CC7CC4" w:rsidRDefault="00CC7CC4" w:rsidP="00CC7CC4">
      <w:pPr>
        <w:spacing w:after="0"/>
        <w:jc w:val="center"/>
        <w:rPr>
          <w:rFonts w:ascii="Calibri" w:hAnsi="Calibri"/>
          <w:b/>
          <w:sz w:val="28"/>
          <w:szCs w:val="28"/>
        </w:rPr>
      </w:pPr>
      <w:r w:rsidRPr="00BA618F">
        <w:rPr>
          <w:rFonts w:ascii="Calibri" w:hAnsi="Calibri"/>
          <w:b/>
          <w:sz w:val="28"/>
          <w:szCs w:val="28"/>
        </w:rPr>
        <w:t>International Development Challenge Fund</w:t>
      </w:r>
      <w:r>
        <w:rPr>
          <w:rFonts w:ascii="Calibri" w:hAnsi="Calibri"/>
          <w:b/>
          <w:sz w:val="28"/>
          <w:szCs w:val="28"/>
        </w:rPr>
        <w:t xml:space="preserve"> (IDCF) and </w:t>
      </w:r>
    </w:p>
    <w:p w14:paraId="58672C48" w14:textId="14AF2DB3" w:rsidR="00AA1ED0" w:rsidRDefault="00CC7CC4" w:rsidP="00CC7CC4">
      <w:pPr>
        <w:spacing w:after="0"/>
        <w:jc w:val="center"/>
        <w:rPr>
          <w:rFonts w:ascii="Calibri" w:hAnsi="Calibri"/>
          <w:b/>
          <w:sz w:val="28"/>
          <w:szCs w:val="28"/>
        </w:rPr>
      </w:pPr>
      <w:r>
        <w:rPr>
          <w:rFonts w:ascii="Calibri" w:hAnsi="Calibri"/>
          <w:b/>
          <w:sz w:val="28"/>
          <w:szCs w:val="28"/>
        </w:rPr>
        <w:t>The Sussex Sustainability Research Programme (SSRP)</w:t>
      </w:r>
    </w:p>
    <w:p w14:paraId="1F78DB9C" w14:textId="77777777" w:rsidR="00F055A8" w:rsidRPr="00BA618F" w:rsidRDefault="00F055A8" w:rsidP="00CC7CC4">
      <w:pPr>
        <w:spacing w:after="0"/>
        <w:jc w:val="center"/>
        <w:rPr>
          <w:rFonts w:ascii="Calibri" w:hAnsi="Calibri"/>
          <w:b/>
          <w:sz w:val="28"/>
          <w:szCs w:val="28"/>
        </w:rPr>
      </w:pPr>
    </w:p>
    <w:p w14:paraId="681CBF64" w14:textId="193DE73F" w:rsidR="00BA618F" w:rsidRPr="00BA618F" w:rsidRDefault="00BA618F" w:rsidP="00BA618F">
      <w:pPr>
        <w:spacing w:after="0"/>
        <w:jc w:val="center"/>
        <w:rPr>
          <w:rFonts w:ascii="Calibri" w:hAnsi="Calibri"/>
          <w:i/>
        </w:rPr>
      </w:pPr>
      <w:r w:rsidRPr="00BA618F">
        <w:rPr>
          <w:rFonts w:ascii="Calibri" w:hAnsi="Calibri"/>
          <w:i/>
        </w:rPr>
        <w:t xml:space="preserve">Funded by the University’s </w:t>
      </w:r>
      <w:r w:rsidR="007A2DA9">
        <w:rPr>
          <w:rFonts w:ascii="Calibri" w:hAnsi="Calibri"/>
          <w:i/>
        </w:rPr>
        <w:t>Research England GC</w:t>
      </w:r>
      <w:r w:rsidRPr="00BA618F">
        <w:rPr>
          <w:rFonts w:ascii="Calibri" w:hAnsi="Calibri"/>
          <w:i/>
        </w:rPr>
        <w:t xml:space="preserve">RF </w:t>
      </w:r>
      <w:r w:rsidR="007A2DA9">
        <w:rPr>
          <w:rFonts w:ascii="Calibri" w:hAnsi="Calibri"/>
          <w:i/>
        </w:rPr>
        <w:t>funding</w:t>
      </w:r>
      <w:r w:rsidRPr="00BA618F">
        <w:rPr>
          <w:rFonts w:ascii="Calibri" w:hAnsi="Calibri"/>
          <w:i/>
        </w:rPr>
        <w:t xml:space="preserve"> allocation</w:t>
      </w:r>
      <w:r>
        <w:rPr>
          <w:rFonts w:ascii="Calibri" w:hAnsi="Calibri"/>
          <w:i/>
        </w:rPr>
        <w:t xml:space="preserve"> and the S</w:t>
      </w:r>
      <w:r w:rsidR="00E01DD2">
        <w:rPr>
          <w:rFonts w:ascii="Calibri" w:hAnsi="Calibri"/>
          <w:i/>
        </w:rPr>
        <w:t xml:space="preserve">ussex Sustainability </w:t>
      </w:r>
      <w:r>
        <w:rPr>
          <w:rFonts w:ascii="Calibri" w:hAnsi="Calibri"/>
          <w:i/>
        </w:rPr>
        <w:t>R</w:t>
      </w:r>
      <w:r w:rsidR="00E01DD2">
        <w:rPr>
          <w:rFonts w:ascii="Calibri" w:hAnsi="Calibri"/>
          <w:i/>
        </w:rPr>
        <w:t xml:space="preserve">esearch </w:t>
      </w:r>
      <w:r>
        <w:rPr>
          <w:rFonts w:ascii="Calibri" w:hAnsi="Calibri"/>
          <w:i/>
        </w:rPr>
        <w:t>P</w:t>
      </w:r>
      <w:r w:rsidR="00E01DD2">
        <w:rPr>
          <w:rFonts w:ascii="Calibri" w:hAnsi="Calibri"/>
          <w:i/>
        </w:rPr>
        <w:t>rogramme</w:t>
      </w:r>
    </w:p>
    <w:p w14:paraId="091AAB17" w14:textId="77777777" w:rsidR="00AA1ED0" w:rsidRPr="00AF0ECB" w:rsidRDefault="00AA1ED0" w:rsidP="00AA1ED0">
      <w:pPr>
        <w:spacing w:after="0"/>
        <w:rPr>
          <w:rFonts w:ascii="Calibri" w:hAnsi="Calibri"/>
          <w:b/>
        </w:rPr>
      </w:pPr>
    </w:p>
    <w:p w14:paraId="5F22382B" w14:textId="7E900836" w:rsidR="00AA1ED0" w:rsidRPr="00AF0ECB" w:rsidRDefault="00E37FD3" w:rsidP="00AA1ED0">
      <w:pPr>
        <w:spacing w:after="0"/>
        <w:rPr>
          <w:rFonts w:ascii="Calibri" w:hAnsi="Calibri"/>
          <w:b/>
        </w:rPr>
      </w:pPr>
      <w:r>
        <w:rPr>
          <w:rFonts w:ascii="Calibri" w:hAnsi="Calibri"/>
          <w:b/>
        </w:rPr>
        <w:t>Background:</w:t>
      </w:r>
    </w:p>
    <w:p w14:paraId="25FC4F73" w14:textId="3FC0C5A0" w:rsidR="001E7B32" w:rsidRDefault="00802104" w:rsidP="008B2B43">
      <w:pPr>
        <w:rPr>
          <w:rFonts w:ascii="Calibri" w:hAnsi="Calibri"/>
        </w:rPr>
      </w:pPr>
      <w:r>
        <w:rPr>
          <w:rFonts w:ascii="Calibri" w:hAnsi="Calibri"/>
        </w:rPr>
        <w:t xml:space="preserve">This joint call of the IDCF and SSRP </w:t>
      </w:r>
      <w:r w:rsidR="00C143DE">
        <w:rPr>
          <w:rFonts w:ascii="Calibri" w:hAnsi="Calibri"/>
        </w:rPr>
        <w:t xml:space="preserve">Fund </w:t>
      </w:r>
      <w:r w:rsidR="001E7B32">
        <w:rPr>
          <w:rFonts w:ascii="Calibri" w:hAnsi="Calibri"/>
        </w:rPr>
        <w:t xml:space="preserve">is </w:t>
      </w:r>
      <w:r w:rsidR="00E125FE">
        <w:rPr>
          <w:rFonts w:ascii="Calibri" w:hAnsi="Calibri"/>
        </w:rPr>
        <w:t xml:space="preserve">supported </w:t>
      </w:r>
      <w:r w:rsidR="001E7B32" w:rsidRPr="001E7B32">
        <w:rPr>
          <w:rFonts w:ascii="Calibri" w:hAnsi="Calibri"/>
          <w:b/>
        </w:rPr>
        <w:t xml:space="preserve">via two separate but complementary </w:t>
      </w:r>
      <w:r w:rsidR="00E125FE">
        <w:rPr>
          <w:rFonts w:ascii="Calibri" w:hAnsi="Calibri"/>
          <w:b/>
        </w:rPr>
        <w:t xml:space="preserve">funding </w:t>
      </w:r>
      <w:r w:rsidR="001E7B32" w:rsidRPr="001E7B32">
        <w:rPr>
          <w:rFonts w:ascii="Calibri" w:hAnsi="Calibri"/>
          <w:b/>
        </w:rPr>
        <w:t>streams</w:t>
      </w:r>
      <w:r w:rsidR="000C15D7">
        <w:rPr>
          <w:rFonts w:ascii="Calibri" w:hAnsi="Calibri"/>
          <w:b/>
        </w:rPr>
        <w:t xml:space="preserve"> </w:t>
      </w:r>
      <w:r w:rsidR="000C15D7" w:rsidRPr="00066F88">
        <w:rPr>
          <w:rFonts w:ascii="Calibri" w:hAnsi="Calibri"/>
        </w:rPr>
        <w:t xml:space="preserve">both of which focus on </w:t>
      </w:r>
      <w:r w:rsidR="000C15D7" w:rsidRPr="004574AC">
        <w:rPr>
          <w:rFonts w:ascii="Calibri" w:hAnsi="Calibri"/>
          <w:b/>
        </w:rPr>
        <w:t>supporting research activities that specifically address challenges faced by developing countries</w:t>
      </w:r>
      <w:r w:rsidR="000C15D7" w:rsidRPr="00066F88">
        <w:rPr>
          <w:rFonts w:ascii="Calibri" w:hAnsi="Calibri"/>
        </w:rPr>
        <w:t>:</w:t>
      </w:r>
    </w:p>
    <w:p w14:paraId="56FFD836" w14:textId="74729475" w:rsidR="001E7B32" w:rsidRDefault="00BA618F" w:rsidP="000C15D7">
      <w:pPr>
        <w:pStyle w:val="ListParagraph"/>
        <w:numPr>
          <w:ilvl w:val="0"/>
          <w:numId w:val="34"/>
        </w:numPr>
        <w:rPr>
          <w:rFonts w:ascii="Calibri" w:hAnsi="Calibri"/>
        </w:rPr>
      </w:pPr>
      <w:r w:rsidRPr="001E7B32">
        <w:rPr>
          <w:rFonts w:ascii="Calibri" w:hAnsi="Calibri"/>
        </w:rPr>
        <w:t>Researc</w:t>
      </w:r>
      <w:r w:rsidR="002C4339">
        <w:rPr>
          <w:rFonts w:ascii="Calibri" w:hAnsi="Calibri"/>
        </w:rPr>
        <w:t>h England</w:t>
      </w:r>
      <w:r w:rsidR="000C15D7">
        <w:rPr>
          <w:rFonts w:ascii="Calibri" w:hAnsi="Calibri"/>
        </w:rPr>
        <w:t xml:space="preserve"> allocated funds to the University</w:t>
      </w:r>
      <w:r w:rsidR="00E125FE">
        <w:rPr>
          <w:rFonts w:ascii="Calibri" w:hAnsi="Calibri"/>
        </w:rPr>
        <w:t xml:space="preserve"> to develop </w:t>
      </w:r>
      <w:hyperlink r:id="rId9" w:history="1">
        <w:r w:rsidR="002C4339" w:rsidRPr="00E125FE">
          <w:rPr>
            <w:rStyle w:val="Hyperlink"/>
            <w:rFonts w:ascii="Calibri" w:hAnsi="Calibri"/>
          </w:rPr>
          <w:t>Global Challenges Research Fund</w:t>
        </w:r>
      </w:hyperlink>
      <w:r w:rsidR="002C4339">
        <w:rPr>
          <w:rFonts w:ascii="Calibri" w:hAnsi="Calibri"/>
        </w:rPr>
        <w:t xml:space="preserve"> (GCRF) r</w:t>
      </w:r>
      <w:r w:rsidR="000C15D7">
        <w:rPr>
          <w:rFonts w:ascii="Calibri" w:hAnsi="Calibri"/>
        </w:rPr>
        <w:t>elated research activities, and</w:t>
      </w:r>
      <w:r w:rsidR="002C4339">
        <w:rPr>
          <w:rFonts w:ascii="Calibri" w:hAnsi="Calibri"/>
        </w:rPr>
        <w:t xml:space="preserve"> </w:t>
      </w:r>
    </w:p>
    <w:p w14:paraId="39119927" w14:textId="0CB403AE" w:rsidR="00802104" w:rsidRDefault="000C15D7" w:rsidP="008B2B43">
      <w:pPr>
        <w:pStyle w:val="ListParagraph"/>
        <w:numPr>
          <w:ilvl w:val="0"/>
          <w:numId w:val="34"/>
        </w:numPr>
        <w:rPr>
          <w:rFonts w:ascii="Calibri" w:hAnsi="Calibri"/>
        </w:rPr>
      </w:pPr>
      <w:r>
        <w:t xml:space="preserve">The </w:t>
      </w:r>
      <w:hyperlink r:id="rId10" w:history="1">
        <w:r w:rsidR="00BA618F" w:rsidRPr="002C4339">
          <w:rPr>
            <w:rStyle w:val="Hyperlink"/>
            <w:rFonts w:ascii="Calibri" w:hAnsi="Calibri"/>
          </w:rPr>
          <w:t>Sussex Sustainability Research Programme</w:t>
        </w:r>
      </w:hyperlink>
      <w:r w:rsidR="002C4339" w:rsidRPr="002C4339">
        <w:rPr>
          <w:rFonts w:ascii="Calibri" w:hAnsi="Calibri"/>
        </w:rPr>
        <w:t xml:space="preserve"> (SSRP)</w:t>
      </w:r>
      <w:r>
        <w:rPr>
          <w:rFonts w:ascii="Calibri" w:hAnsi="Calibri"/>
        </w:rPr>
        <w:t xml:space="preserve"> </w:t>
      </w:r>
      <w:r w:rsidR="00BA618F" w:rsidRPr="002C4339">
        <w:rPr>
          <w:rFonts w:ascii="Calibri" w:hAnsi="Calibri"/>
        </w:rPr>
        <w:t xml:space="preserve">is a cross-campus University </w:t>
      </w:r>
      <w:r>
        <w:rPr>
          <w:rFonts w:ascii="Calibri" w:hAnsi="Calibri"/>
        </w:rPr>
        <w:t xml:space="preserve">initiative </w:t>
      </w:r>
      <w:r w:rsidR="00BA618F" w:rsidRPr="002C4339">
        <w:rPr>
          <w:rFonts w:ascii="Calibri" w:hAnsi="Calibri"/>
        </w:rPr>
        <w:t>that promotes and develops high-impact international and national sustainability research</w:t>
      </w:r>
      <w:r w:rsidR="004C0C29">
        <w:rPr>
          <w:rFonts w:ascii="Calibri" w:hAnsi="Calibri"/>
        </w:rPr>
        <w:t xml:space="preserve"> to help</w:t>
      </w:r>
      <w:r w:rsidR="00BA618F" w:rsidRPr="002C4339">
        <w:rPr>
          <w:rFonts w:ascii="Calibri" w:hAnsi="Calibri"/>
        </w:rPr>
        <w:t xml:space="preserve"> achieve the </w:t>
      </w:r>
      <w:hyperlink r:id="rId11" w:history="1">
        <w:r w:rsidR="00BA618F" w:rsidRPr="002C4339">
          <w:rPr>
            <w:rStyle w:val="Hyperlink"/>
            <w:rFonts w:ascii="Calibri" w:hAnsi="Calibri"/>
          </w:rPr>
          <w:t>UN Sustainable Development Goals</w:t>
        </w:r>
      </w:hyperlink>
      <w:r>
        <w:rPr>
          <w:rStyle w:val="Hyperlink"/>
          <w:rFonts w:ascii="Calibri" w:hAnsi="Calibri"/>
          <w:u w:val="none"/>
        </w:rPr>
        <w:t xml:space="preserve"> </w:t>
      </w:r>
      <w:r>
        <w:rPr>
          <w:rStyle w:val="Hyperlink"/>
          <w:rFonts w:ascii="Calibri" w:hAnsi="Calibri"/>
          <w:color w:val="auto"/>
          <w:u w:val="none"/>
        </w:rPr>
        <w:t xml:space="preserve">and supports research activity </w:t>
      </w:r>
      <w:r w:rsidRPr="000C15D7">
        <w:rPr>
          <w:rStyle w:val="Hyperlink"/>
          <w:rFonts w:ascii="Calibri" w:hAnsi="Calibri"/>
          <w:color w:val="auto"/>
          <w:u w:val="none"/>
        </w:rPr>
        <w:t xml:space="preserve">in specific research </w:t>
      </w:r>
      <w:r>
        <w:rPr>
          <w:rStyle w:val="Hyperlink"/>
          <w:rFonts w:ascii="Calibri" w:hAnsi="Calibri"/>
          <w:color w:val="auto"/>
          <w:u w:val="none"/>
        </w:rPr>
        <w:t xml:space="preserve">areas </w:t>
      </w:r>
      <w:r w:rsidRPr="000C15D7">
        <w:rPr>
          <w:rStyle w:val="Hyperlink"/>
          <w:rFonts w:ascii="Calibri" w:hAnsi="Calibri"/>
          <w:color w:val="auto"/>
          <w:u w:val="none"/>
        </w:rPr>
        <w:t xml:space="preserve">(listed </w:t>
      </w:r>
      <w:r w:rsidR="00F055A8">
        <w:rPr>
          <w:rStyle w:val="Hyperlink"/>
          <w:rFonts w:ascii="Calibri" w:hAnsi="Calibri"/>
          <w:color w:val="auto"/>
          <w:u w:val="none"/>
        </w:rPr>
        <w:t>below</w:t>
      </w:r>
      <w:r w:rsidRPr="000C15D7">
        <w:rPr>
          <w:rStyle w:val="Hyperlink"/>
          <w:rFonts w:ascii="Calibri" w:hAnsi="Calibri"/>
          <w:color w:val="auto"/>
          <w:u w:val="none"/>
        </w:rPr>
        <w:t>).</w:t>
      </w:r>
      <w:r w:rsidR="004C0C29" w:rsidRPr="000C15D7">
        <w:rPr>
          <w:rStyle w:val="Hyperlink"/>
          <w:rFonts w:ascii="Calibri" w:hAnsi="Calibri"/>
          <w:color w:val="auto"/>
        </w:rPr>
        <w:t xml:space="preserve"> </w:t>
      </w:r>
      <w:r w:rsidR="004C0C29" w:rsidRPr="000C15D7">
        <w:rPr>
          <w:rFonts w:ascii="Calibri" w:hAnsi="Calibri"/>
        </w:rPr>
        <w:t xml:space="preserve"> </w:t>
      </w:r>
    </w:p>
    <w:p w14:paraId="6D443588" w14:textId="2A21C5BD" w:rsidR="002C5FC0" w:rsidRPr="00324BDB" w:rsidRDefault="00802104" w:rsidP="00324BDB">
      <w:pPr>
        <w:rPr>
          <w:rFonts w:ascii="Calibri" w:hAnsi="Calibri"/>
          <w:strike/>
        </w:rPr>
      </w:pPr>
      <w:r>
        <w:rPr>
          <w:rFonts w:ascii="Calibri" w:hAnsi="Calibri"/>
        </w:rPr>
        <w:t>This is the second round of funding from</w:t>
      </w:r>
      <w:r w:rsidR="004574AC">
        <w:rPr>
          <w:rFonts w:ascii="Calibri" w:hAnsi="Calibri"/>
        </w:rPr>
        <w:t xml:space="preserve"> the</w:t>
      </w:r>
      <w:r>
        <w:rPr>
          <w:rFonts w:ascii="Calibri" w:hAnsi="Calibri"/>
        </w:rPr>
        <w:t xml:space="preserve"> IDCF and third round from SSRP.  </w:t>
      </w:r>
      <w:r w:rsidR="00450FD5">
        <w:rPr>
          <w:rFonts w:ascii="Calibri" w:hAnsi="Calibri"/>
        </w:rPr>
        <w:t xml:space="preserve">The </w:t>
      </w:r>
      <w:r w:rsidR="00C87828">
        <w:rPr>
          <w:rFonts w:ascii="Calibri" w:hAnsi="Calibri"/>
        </w:rPr>
        <w:t xml:space="preserve">first two rounds of the SSRP fund supported 20 projects across 8 schools and 15 departments, and collaborations in 15 DAC countries and the UK.  </w:t>
      </w:r>
      <w:r w:rsidR="002C5FC0" w:rsidRPr="00066F88">
        <w:rPr>
          <w:rFonts w:ascii="Calibri" w:hAnsi="Calibri"/>
        </w:rPr>
        <w:t xml:space="preserve">The first round of the IDCF supported 10 projects across 5 Schools, including </w:t>
      </w:r>
      <w:r w:rsidR="00453EEA">
        <w:rPr>
          <w:rFonts w:ascii="Calibri" w:hAnsi="Calibri"/>
        </w:rPr>
        <w:t>a range of cross-disciplinary activities.</w:t>
      </w:r>
      <w:r w:rsidR="0008375F">
        <w:rPr>
          <w:rFonts w:ascii="Calibri" w:hAnsi="Calibri"/>
        </w:rPr>
        <w:t xml:space="preserve"> </w:t>
      </w:r>
    </w:p>
    <w:p w14:paraId="1AE331CC" w14:textId="77777777" w:rsidR="002C5FC0" w:rsidRDefault="002C5FC0" w:rsidP="00B95B9E">
      <w:pPr>
        <w:spacing w:after="0"/>
        <w:rPr>
          <w:rFonts w:ascii="Calibri" w:hAnsi="Calibri"/>
          <w:color w:val="FF0000"/>
        </w:rPr>
      </w:pPr>
    </w:p>
    <w:p w14:paraId="28CF0F0C" w14:textId="34E66DC9" w:rsidR="00B95B9E" w:rsidRDefault="00B95B9E" w:rsidP="00B95B9E">
      <w:pPr>
        <w:spacing w:after="0"/>
        <w:rPr>
          <w:rFonts w:ascii="Calibri" w:hAnsi="Calibri"/>
          <w:b/>
        </w:rPr>
      </w:pPr>
      <w:r w:rsidRPr="0038100A">
        <w:rPr>
          <w:rFonts w:ascii="Calibri" w:hAnsi="Calibri"/>
          <w:b/>
        </w:rPr>
        <w:t>Purpose of the scheme:</w:t>
      </w:r>
    </w:p>
    <w:p w14:paraId="3110EB44" w14:textId="12822797" w:rsidR="008B3C33" w:rsidRDefault="00BA618F" w:rsidP="00324BDB">
      <w:pPr>
        <w:pStyle w:val="ListParagraph"/>
        <w:numPr>
          <w:ilvl w:val="0"/>
          <w:numId w:val="38"/>
        </w:numPr>
        <w:rPr>
          <w:rFonts w:ascii="Calibri" w:hAnsi="Calibri"/>
        </w:rPr>
      </w:pPr>
      <w:r w:rsidRPr="0009512C">
        <w:rPr>
          <w:rFonts w:ascii="Calibri" w:hAnsi="Calibri"/>
        </w:rPr>
        <w:t>Th</w:t>
      </w:r>
      <w:r w:rsidR="001A6EFB" w:rsidRPr="0009512C">
        <w:rPr>
          <w:rFonts w:ascii="Calibri" w:hAnsi="Calibri"/>
        </w:rPr>
        <w:t>e aim of the IDCF is to support</w:t>
      </w:r>
      <w:r w:rsidRPr="0009512C">
        <w:rPr>
          <w:rFonts w:ascii="Calibri" w:hAnsi="Calibri"/>
        </w:rPr>
        <w:t xml:space="preserve"> </w:t>
      </w:r>
      <w:r w:rsidR="00510E32" w:rsidRPr="008B3C33">
        <w:rPr>
          <w:rFonts w:ascii="Calibri" w:hAnsi="Calibri"/>
          <w:b/>
        </w:rPr>
        <w:t xml:space="preserve">interdisciplinary </w:t>
      </w:r>
      <w:r w:rsidR="00510E32" w:rsidRPr="0009512C">
        <w:rPr>
          <w:rFonts w:ascii="Calibri" w:hAnsi="Calibri"/>
        </w:rPr>
        <w:t xml:space="preserve">and collaborative </w:t>
      </w:r>
      <w:r w:rsidR="008B3C33">
        <w:rPr>
          <w:rFonts w:ascii="Calibri" w:hAnsi="Calibri"/>
        </w:rPr>
        <w:t xml:space="preserve">research activities </w:t>
      </w:r>
      <w:r w:rsidR="00D12899" w:rsidRPr="0009512C">
        <w:rPr>
          <w:rFonts w:ascii="Calibri" w:hAnsi="Calibri"/>
        </w:rPr>
        <w:t>that specifically address challenges faced by developing countries</w:t>
      </w:r>
      <w:r w:rsidR="001A6C2D" w:rsidRPr="0009512C">
        <w:rPr>
          <w:rFonts w:ascii="Calibri" w:hAnsi="Calibri"/>
        </w:rPr>
        <w:t>.</w:t>
      </w:r>
      <w:r w:rsidRPr="0009512C">
        <w:rPr>
          <w:rFonts w:ascii="Calibri" w:hAnsi="Calibri"/>
        </w:rPr>
        <w:t xml:space="preserve"> </w:t>
      </w:r>
    </w:p>
    <w:p w14:paraId="2635961C" w14:textId="11E58520" w:rsidR="009D284A" w:rsidRDefault="009D284A" w:rsidP="00324BDB">
      <w:pPr>
        <w:pStyle w:val="ListParagraph"/>
        <w:numPr>
          <w:ilvl w:val="0"/>
          <w:numId w:val="38"/>
        </w:numPr>
        <w:rPr>
          <w:rFonts w:ascii="Calibri" w:hAnsi="Calibri"/>
        </w:rPr>
      </w:pPr>
      <w:r w:rsidRPr="00F40677">
        <w:rPr>
          <w:rFonts w:ascii="Calibri" w:hAnsi="Calibri"/>
        </w:rPr>
        <w:t xml:space="preserve">The aim of the </w:t>
      </w:r>
      <w:r w:rsidRPr="0062696B">
        <w:rPr>
          <w:rFonts w:ascii="Calibri" w:hAnsi="Calibri"/>
        </w:rPr>
        <w:t xml:space="preserve">SSRP </w:t>
      </w:r>
      <w:r>
        <w:t xml:space="preserve">Fund is similar, namely to support substantive interdisciplinary research proposals which leads to further, external funding applications and which ultimately provide leverage in supporting national and international policies and actions to achieve the United Nations Sustainable Development Goals (SDGs).  </w:t>
      </w:r>
    </w:p>
    <w:p w14:paraId="2CE5EF03" w14:textId="6CD3BC4B" w:rsidR="004E2C5F" w:rsidRDefault="008B3C33" w:rsidP="00324BDB">
      <w:pPr>
        <w:pStyle w:val="ListParagraph"/>
        <w:numPr>
          <w:ilvl w:val="0"/>
          <w:numId w:val="38"/>
        </w:numPr>
        <w:rPr>
          <w:rFonts w:ascii="Calibri" w:hAnsi="Calibri"/>
        </w:rPr>
      </w:pPr>
      <w:r>
        <w:rPr>
          <w:rFonts w:ascii="Calibri" w:hAnsi="Calibri"/>
        </w:rPr>
        <w:t>F</w:t>
      </w:r>
      <w:r w:rsidR="00CE0FE5" w:rsidRPr="0009512C">
        <w:rPr>
          <w:rFonts w:ascii="Calibri" w:hAnsi="Calibri"/>
        </w:rPr>
        <w:t xml:space="preserve">unded projects </w:t>
      </w:r>
      <w:r w:rsidR="00CE0FE5" w:rsidRPr="00624781">
        <w:rPr>
          <w:rFonts w:ascii="Calibri" w:hAnsi="Calibri"/>
        </w:rPr>
        <w:t>must</w:t>
      </w:r>
      <w:r w:rsidR="00CE0FE5" w:rsidRPr="0009512C">
        <w:rPr>
          <w:rFonts w:ascii="Calibri" w:hAnsi="Calibri"/>
        </w:rPr>
        <w:t xml:space="preserve"> be </w:t>
      </w:r>
      <w:r w:rsidR="00CE0FE5" w:rsidRPr="008B3C33">
        <w:rPr>
          <w:rFonts w:ascii="Calibri" w:hAnsi="Calibri"/>
          <w:b/>
        </w:rPr>
        <w:t xml:space="preserve">Overseas Development </w:t>
      </w:r>
      <w:r w:rsidR="00CE0FE5" w:rsidRPr="004574AC">
        <w:rPr>
          <w:rFonts w:ascii="Calibri" w:hAnsi="Calibri"/>
          <w:b/>
        </w:rPr>
        <w:t>Assistance (ODA) compliant</w:t>
      </w:r>
      <w:r w:rsidR="001C387B" w:rsidRPr="0009512C">
        <w:rPr>
          <w:rFonts w:ascii="Calibri" w:hAnsi="Calibri"/>
        </w:rPr>
        <w:t>,</w:t>
      </w:r>
      <w:r w:rsidR="00CE0FE5" w:rsidRPr="0009512C">
        <w:rPr>
          <w:rFonts w:ascii="Calibri" w:hAnsi="Calibri"/>
        </w:rPr>
        <w:t xml:space="preserve"> which means </w:t>
      </w:r>
      <w:r w:rsidR="00545670" w:rsidRPr="0009512C">
        <w:rPr>
          <w:rFonts w:ascii="Calibri" w:hAnsi="Calibri"/>
        </w:rPr>
        <w:t xml:space="preserve">that only </w:t>
      </w:r>
      <w:r w:rsidR="001A6C2D" w:rsidRPr="0009512C">
        <w:rPr>
          <w:rFonts w:ascii="Calibri" w:hAnsi="Calibri"/>
          <w:b/>
        </w:rPr>
        <w:t>research</w:t>
      </w:r>
      <w:r w:rsidR="004E2C5F" w:rsidRPr="0009512C">
        <w:rPr>
          <w:rFonts w:ascii="Calibri" w:hAnsi="Calibri"/>
          <w:b/>
        </w:rPr>
        <w:t xml:space="preserve"> </w:t>
      </w:r>
      <w:r w:rsidR="007C2ACA" w:rsidRPr="0009512C">
        <w:rPr>
          <w:rFonts w:ascii="Calibri" w:hAnsi="Calibri"/>
          <w:b/>
        </w:rPr>
        <w:t>d</w:t>
      </w:r>
      <w:r w:rsidR="004E2C5F" w:rsidRPr="0009512C">
        <w:rPr>
          <w:rFonts w:ascii="Calibri" w:hAnsi="Calibri"/>
          <w:b/>
        </w:rPr>
        <w:t xml:space="preserve">irectly and primarily </w:t>
      </w:r>
      <w:r w:rsidR="00545670" w:rsidRPr="0009512C">
        <w:rPr>
          <w:rFonts w:ascii="Calibri" w:hAnsi="Calibri"/>
          <w:b/>
        </w:rPr>
        <w:t xml:space="preserve">of benefit to the </w:t>
      </w:r>
      <w:r w:rsidR="007C2ACA" w:rsidRPr="0009512C">
        <w:rPr>
          <w:rFonts w:ascii="Calibri" w:hAnsi="Calibri"/>
          <w:b/>
        </w:rPr>
        <w:t>problems of developing countries</w:t>
      </w:r>
      <w:r w:rsidR="00545670" w:rsidRPr="0009512C">
        <w:rPr>
          <w:rFonts w:ascii="Calibri" w:hAnsi="Calibri"/>
          <w:b/>
        </w:rPr>
        <w:t xml:space="preserve"> </w:t>
      </w:r>
      <w:r w:rsidR="00545670" w:rsidRPr="0009512C">
        <w:rPr>
          <w:rFonts w:ascii="Calibri" w:hAnsi="Calibri"/>
        </w:rPr>
        <w:t>can be funded</w:t>
      </w:r>
      <w:r w:rsidR="00545670" w:rsidRPr="0009512C">
        <w:rPr>
          <w:rFonts w:ascii="Calibri" w:hAnsi="Calibri"/>
          <w:b/>
        </w:rPr>
        <w:t xml:space="preserve">.  </w:t>
      </w:r>
      <w:r w:rsidR="00F867AF" w:rsidRPr="0009512C">
        <w:rPr>
          <w:rFonts w:ascii="Calibri" w:hAnsi="Calibri"/>
        </w:rPr>
        <w:t>These c</w:t>
      </w:r>
      <w:r w:rsidR="007C2ACA" w:rsidRPr="0009512C">
        <w:rPr>
          <w:rFonts w:ascii="Calibri" w:hAnsi="Calibri"/>
        </w:rPr>
        <w:t xml:space="preserve">ountries must be </w:t>
      </w:r>
      <w:r w:rsidR="00CE0FE5" w:rsidRPr="0009512C">
        <w:rPr>
          <w:rFonts w:ascii="Calibri" w:hAnsi="Calibri"/>
        </w:rPr>
        <w:t xml:space="preserve">named on </w:t>
      </w:r>
      <w:r w:rsidR="007C2ACA" w:rsidRPr="0009512C">
        <w:rPr>
          <w:rFonts w:ascii="Calibri" w:hAnsi="Calibri"/>
        </w:rPr>
        <w:t>th</w:t>
      </w:r>
      <w:r w:rsidR="00CE0FE5" w:rsidRPr="0009512C">
        <w:rPr>
          <w:rFonts w:ascii="Calibri" w:hAnsi="Calibri"/>
        </w:rPr>
        <w:t>e</w:t>
      </w:r>
      <w:r w:rsidR="004E2C5F" w:rsidRPr="0009512C">
        <w:rPr>
          <w:rFonts w:ascii="Calibri" w:hAnsi="Calibri"/>
        </w:rPr>
        <w:t xml:space="preserve"> </w:t>
      </w:r>
      <w:hyperlink r:id="rId12" w:history="1">
        <w:r w:rsidR="004E2C5F" w:rsidRPr="0009512C">
          <w:rPr>
            <w:rStyle w:val="Hyperlink"/>
            <w:rFonts w:ascii="Calibri" w:hAnsi="Calibri"/>
          </w:rPr>
          <w:t>O</w:t>
        </w:r>
        <w:r w:rsidR="00F969F8" w:rsidRPr="0009512C">
          <w:rPr>
            <w:rStyle w:val="Hyperlink"/>
            <w:rFonts w:ascii="Calibri" w:hAnsi="Calibri"/>
          </w:rPr>
          <w:t>rganisation for Economic Co-operation and Development (OECD)</w:t>
        </w:r>
        <w:r w:rsidR="004E2C5F" w:rsidRPr="0009512C">
          <w:rPr>
            <w:rStyle w:val="Hyperlink"/>
            <w:rFonts w:ascii="Calibri" w:hAnsi="Calibri"/>
          </w:rPr>
          <w:t xml:space="preserve"> Development Assistance Committee (DAC) list of aid recipients</w:t>
        </w:r>
      </w:hyperlink>
      <w:r w:rsidR="004E2C5F" w:rsidRPr="0009512C">
        <w:rPr>
          <w:rFonts w:ascii="Calibri" w:hAnsi="Calibri"/>
        </w:rPr>
        <w:t>.</w:t>
      </w:r>
      <w:r w:rsidR="00545670" w:rsidRPr="0009512C">
        <w:rPr>
          <w:rFonts w:ascii="Calibri" w:hAnsi="Calibri"/>
        </w:rPr>
        <w:t xml:space="preserve">  </w:t>
      </w:r>
      <w:r w:rsidR="00E33986">
        <w:rPr>
          <w:rFonts w:ascii="Calibri" w:hAnsi="Calibri"/>
        </w:rPr>
        <w:t xml:space="preserve">However, a limited amount of support </w:t>
      </w:r>
      <w:r w:rsidR="00CC2C2E">
        <w:rPr>
          <w:rFonts w:ascii="Calibri" w:hAnsi="Calibri"/>
        </w:rPr>
        <w:t xml:space="preserve">from the SSRP </w:t>
      </w:r>
      <w:r w:rsidR="00E33986">
        <w:rPr>
          <w:rFonts w:ascii="Calibri" w:hAnsi="Calibri"/>
        </w:rPr>
        <w:t xml:space="preserve">is available for UK-based projects that have a high potential for generating knowledge transferable to DAC countries. </w:t>
      </w:r>
    </w:p>
    <w:p w14:paraId="3A96E0BD" w14:textId="42AA5D7E" w:rsidR="00510E32" w:rsidRPr="00624781" w:rsidRDefault="00971FFD" w:rsidP="00624781">
      <w:pPr>
        <w:spacing w:after="0"/>
        <w:ind w:left="360"/>
        <w:rPr>
          <w:rFonts w:ascii="Calibri" w:hAnsi="Calibri"/>
          <w:b/>
        </w:rPr>
      </w:pPr>
      <w:r w:rsidRPr="00624781">
        <w:rPr>
          <w:rFonts w:ascii="Calibri" w:hAnsi="Calibri"/>
        </w:rPr>
        <w:t>In order to meet th</w:t>
      </w:r>
      <w:r w:rsidR="00510E32" w:rsidRPr="00624781">
        <w:rPr>
          <w:rFonts w:ascii="Calibri" w:hAnsi="Calibri"/>
        </w:rPr>
        <w:t>e criteria for funding</w:t>
      </w:r>
      <w:r w:rsidRPr="00624781">
        <w:rPr>
          <w:rFonts w:ascii="Calibri" w:hAnsi="Calibri"/>
        </w:rPr>
        <w:t>,</w:t>
      </w:r>
      <w:r w:rsidR="00510E32" w:rsidRPr="00624781">
        <w:rPr>
          <w:rFonts w:ascii="Calibri" w:hAnsi="Calibri"/>
        </w:rPr>
        <w:t xml:space="preserve"> proposed research activity should</w:t>
      </w:r>
      <w:r w:rsidR="00510E32" w:rsidRPr="00624781">
        <w:rPr>
          <w:rFonts w:ascii="Calibri" w:hAnsi="Calibri"/>
          <w:b/>
        </w:rPr>
        <w:t xml:space="preserve">: </w:t>
      </w:r>
    </w:p>
    <w:p w14:paraId="49387FC3" w14:textId="77777777" w:rsidR="00510E32" w:rsidRDefault="00510E32" w:rsidP="00510E32">
      <w:pPr>
        <w:pStyle w:val="ListParagraph"/>
        <w:numPr>
          <w:ilvl w:val="0"/>
          <w:numId w:val="12"/>
        </w:numPr>
        <w:spacing w:after="0"/>
        <w:rPr>
          <w:rFonts w:ascii="Calibri" w:hAnsi="Calibri"/>
        </w:rPr>
      </w:pPr>
      <w:r>
        <w:rPr>
          <w:rFonts w:ascii="Calibri" w:hAnsi="Calibri"/>
        </w:rPr>
        <w:t xml:space="preserve">Be underpinned by research excellence, </w:t>
      </w:r>
    </w:p>
    <w:p w14:paraId="178A3229" w14:textId="1D397CF5" w:rsidR="00510E32" w:rsidRDefault="00510E32" w:rsidP="00510E32">
      <w:pPr>
        <w:pStyle w:val="ListParagraph"/>
        <w:numPr>
          <w:ilvl w:val="0"/>
          <w:numId w:val="12"/>
        </w:numPr>
        <w:spacing w:after="0"/>
        <w:rPr>
          <w:rFonts w:ascii="Calibri" w:hAnsi="Calibri"/>
        </w:rPr>
      </w:pPr>
      <w:r>
        <w:rPr>
          <w:rFonts w:ascii="Calibri" w:hAnsi="Calibri"/>
        </w:rPr>
        <w:lastRenderedPageBreak/>
        <w:t>Be focussed</w:t>
      </w:r>
      <w:r w:rsidR="00971FFD">
        <w:rPr>
          <w:rFonts w:ascii="Calibri" w:hAnsi="Calibri"/>
        </w:rPr>
        <w:t xml:space="preserve"> on problems faced by ODA/DAC</w:t>
      </w:r>
      <w:r>
        <w:rPr>
          <w:rFonts w:ascii="Calibri" w:hAnsi="Calibri"/>
        </w:rPr>
        <w:t xml:space="preserve"> countries </w:t>
      </w:r>
      <w:r w:rsidR="00DA7E28">
        <w:rPr>
          <w:rFonts w:ascii="Calibri" w:hAnsi="Calibri"/>
        </w:rPr>
        <w:t xml:space="preserve">and developing pathways to their </w:t>
      </w:r>
      <w:r>
        <w:rPr>
          <w:rFonts w:ascii="Calibri" w:hAnsi="Calibri"/>
        </w:rPr>
        <w:t xml:space="preserve">solution, </w:t>
      </w:r>
    </w:p>
    <w:p w14:paraId="2BB30BF6" w14:textId="77777777" w:rsidR="00510E32" w:rsidRDefault="00510E32" w:rsidP="00510E32">
      <w:pPr>
        <w:pStyle w:val="ListParagraph"/>
        <w:numPr>
          <w:ilvl w:val="0"/>
          <w:numId w:val="12"/>
        </w:numPr>
        <w:spacing w:after="0"/>
        <w:rPr>
          <w:rFonts w:ascii="Calibri" w:hAnsi="Calibri"/>
        </w:rPr>
      </w:pPr>
      <w:r>
        <w:rPr>
          <w:rFonts w:ascii="Calibri" w:hAnsi="Calibri"/>
        </w:rPr>
        <w:t>Have a high likelihood of positive impact on the economic development and welfare needs of developing countries,</w:t>
      </w:r>
    </w:p>
    <w:p w14:paraId="51E01FE9" w14:textId="3270230C" w:rsidR="00DE390F" w:rsidRPr="00AB1127" w:rsidRDefault="00510E32" w:rsidP="00AB1127">
      <w:pPr>
        <w:pStyle w:val="ListParagraph"/>
        <w:numPr>
          <w:ilvl w:val="0"/>
          <w:numId w:val="12"/>
        </w:numPr>
        <w:spacing w:after="0"/>
        <w:rPr>
          <w:rFonts w:ascii="Calibri" w:hAnsi="Calibri"/>
        </w:rPr>
      </w:pPr>
      <w:r w:rsidRPr="00AB1127">
        <w:rPr>
          <w:rFonts w:ascii="Calibri" w:hAnsi="Calibri"/>
        </w:rPr>
        <w:t>Promote strong, enduring and equitable partnerships between Sussex and DAC country academic communities.  Where possible, partners in developing countries should play a significant role in the research activity.</w:t>
      </w:r>
      <w:r w:rsidR="00AB1127" w:rsidRPr="00AB1127">
        <w:rPr>
          <w:rFonts w:ascii="Calibri" w:hAnsi="Calibri"/>
        </w:rPr>
        <w:t xml:space="preserve"> As noted above, support is </w:t>
      </w:r>
      <w:r w:rsidR="00DE390F" w:rsidRPr="00AB1127">
        <w:rPr>
          <w:rFonts w:ascii="Calibri" w:hAnsi="Calibri"/>
        </w:rPr>
        <w:t>also available for a limited number of UK-based activities</w:t>
      </w:r>
      <w:r w:rsidR="00AB1127">
        <w:rPr>
          <w:rFonts w:ascii="Calibri" w:hAnsi="Calibri"/>
        </w:rPr>
        <w:t xml:space="preserve">. </w:t>
      </w:r>
      <w:r w:rsidR="00DE390F" w:rsidRPr="00AB1127">
        <w:rPr>
          <w:rFonts w:ascii="Calibri" w:hAnsi="Calibri"/>
        </w:rPr>
        <w:t xml:space="preserve"> </w:t>
      </w:r>
    </w:p>
    <w:p w14:paraId="374778FB" w14:textId="77777777" w:rsidR="00965609" w:rsidRDefault="00965609" w:rsidP="00F67E70">
      <w:pPr>
        <w:spacing w:after="0"/>
        <w:rPr>
          <w:rFonts w:ascii="Calibri" w:hAnsi="Calibri"/>
          <w:b/>
        </w:rPr>
      </w:pPr>
    </w:p>
    <w:p w14:paraId="6429AACB" w14:textId="243F9BC4" w:rsidR="0038100A" w:rsidRDefault="00B95B9E" w:rsidP="00F67E70">
      <w:pPr>
        <w:spacing w:after="0"/>
        <w:rPr>
          <w:rFonts w:ascii="Calibri" w:hAnsi="Calibri"/>
          <w:b/>
        </w:rPr>
      </w:pPr>
      <w:r>
        <w:rPr>
          <w:rFonts w:ascii="Calibri" w:hAnsi="Calibri"/>
          <w:b/>
        </w:rPr>
        <w:t>Eligible research areas:</w:t>
      </w:r>
    </w:p>
    <w:p w14:paraId="46C1B663" w14:textId="77777777" w:rsidR="00240C41" w:rsidRDefault="00240C41" w:rsidP="00F67E70">
      <w:pPr>
        <w:spacing w:after="0"/>
        <w:rPr>
          <w:rFonts w:ascii="Calibri" w:hAnsi="Calibri"/>
        </w:rPr>
      </w:pPr>
    </w:p>
    <w:p w14:paraId="79B4D35F" w14:textId="6170FDB3" w:rsidR="00B95B9E" w:rsidRDefault="00066F88" w:rsidP="00F67E70">
      <w:pPr>
        <w:spacing w:after="0"/>
        <w:rPr>
          <w:rFonts w:ascii="Calibri" w:hAnsi="Calibri"/>
        </w:rPr>
      </w:pPr>
      <w:r>
        <w:rPr>
          <w:rFonts w:ascii="Calibri" w:hAnsi="Calibri"/>
        </w:rPr>
        <w:t>A</w:t>
      </w:r>
      <w:r w:rsidR="00B95B9E" w:rsidRPr="00B95B9E">
        <w:rPr>
          <w:rFonts w:ascii="Calibri" w:hAnsi="Calibri"/>
        </w:rPr>
        <w:t>pplic</w:t>
      </w:r>
      <w:r w:rsidR="008018A8">
        <w:rPr>
          <w:rFonts w:ascii="Calibri" w:hAnsi="Calibri"/>
        </w:rPr>
        <w:t>ations are welcome from all disciplines</w:t>
      </w:r>
      <w:r w:rsidR="00B95B9E" w:rsidRPr="00B95B9E">
        <w:rPr>
          <w:rFonts w:ascii="Calibri" w:hAnsi="Calibri"/>
        </w:rPr>
        <w:t xml:space="preserve"> but must address one of the GCRF Challenge Areas</w:t>
      </w:r>
      <w:r w:rsidR="008018A8">
        <w:rPr>
          <w:rFonts w:ascii="Calibri" w:hAnsi="Calibri"/>
        </w:rPr>
        <w:t>:</w:t>
      </w:r>
    </w:p>
    <w:p w14:paraId="6A088B1C" w14:textId="117B48DB" w:rsidR="00D026AE" w:rsidRDefault="00D026AE" w:rsidP="00D026AE">
      <w:pPr>
        <w:spacing w:after="0"/>
        <w:rPr>
          <w:rFonts w:ascii="Calibri" w:hAnsi="Calibri"/>
        </w:rPr>
      </w:pPr>
    </w:p>
    <w:p w14:paraId="34FDC4C6" w14:textId="77777777" w:rsidR="003D0F37" w:rsidRPr="00E12E91" w:rsidRDefault="003D0F37" w:rsidP="003D0F37">
      <w:pPr>
        <w:pStyle w:val="EnvelopeReturn"/>
        <w:numPr>
          <w:ilvl w:val="0"/>
          <w:numId w:val="26"/>
        </w:numPr>
        <w:ind w:left="360"/>
        <w:rPr>
          <w:rFonts w:asciiTheme="minorHAnsi" w:hAnsiTheme="minorHAnsi" w:cstheme="minorHAnsi"/>
          <w:noProof/>
          <w:sz w:val="22"/>
          <w:szCs w:val="22"/>
        </w:rPr>
      </w:pPr>
      <w:r w:rsidRPr="00E12E91">
        <w:rPr>
          <w:rFonts w:asciiTheme="minorHAnsi" w:hAnsiTheme="minorHAnsi" w:cstheme="minorHAnsi"/>
          <w:noProof/>
          <w:sz w:val="22"/>
          <w:szCs w:val="22"/>
        </w:rPr>
        <w:t>Equitable access to sustainable development</w:t>
      </w:r>
    </w:p>
    <w:p w14:paraId="0672BD98" w14:textId="77777777" w:rsidR="003D0F37" w:rsidRPr="00E12E91" w:rsidRDefault="003D0F37" w:rsidP="003D0F37">
      <w:pPr>
        <w:pStyle w:val="EnvelopeReturn"/>
        <w:numPr>
          <w:ilvl w:val="0"/>
          <w:numId w:val="27"/>
        </w:numPr>
        <w:ind w:left="1080"/>
        <w:rPr>
          <w:rFonts w:asciiTheme="minorHAnsi" w:hAnsiTheme="minorHAnsi" w:cstheme="minorHAnsi"/>
          <w:noProof/>
          <w:sz w:val="22"/>
          <w:szCs w:val="22"/>
        </w:rPr>
      </w:pPr>
      <w:r w:rsidRPr="00E12E91">
        <w:rPr>
          <w:rFonts w:asciiTheme="minorHAnsi" w:hAnsiTheme="minorHAnsi" w:cstheme="minorHAnsi"/>
          <w:noProof/>
          <w:sz w:val="22"/>
          <w:szCs w:val="22"/>
        </w:rPr>
        <w:t>Secure and resilient food systems supported by sustainable marine resources and agriculture</w:t>
      </w:r>
    </w:p>
    <w:p w14:paraId="7AE025A4" w14:textId="77777777" w:rsidR="003D0F37" w:rsidRPr="00E12E91" w:rsidRDefault="003D0F37" w:rsidP="003D0F37">
      <w:pPr>
        <w:pStyle w:val="EnvelopeReturn"/>
        <w:numPr>
          <w:ilvl w:val="0"/>
          <w:numId w:val="27"/>
        </w:numPr>
        <w:ind w:left="1080"/>
        <w:rPr>
          <w:rFonts w:asciiTheme="minorHAnsi" w:hAnsiTheme="minorHAnsi" w:cstheme="minorHAnsi"/>
          <w:noProof/>
          <w:sz w:val="22"/>
          <w:szCs w:val="22"/>
        </w:rPr>
      </w:pPr>
      <w:r w:rsidRPr="00E12E91">
        <w:rPr>
          <w:rFonts w:asciiTheme="minorHAnsi" w:hAnsiTheme="minorHAnsi" w:cstheme="minorHAnsi"/>
          <w:noProof/>
          <w:sz w:val="22"/>
          <w:szCs w:val="22"/>
        </w:rPr>
        <w:t>Sustainable health and wellbeing</w:t>
      </w:r>
    </w:p>
    <w:p w14:paraId="0410F1FA" w14:textId="77777777" w:rsidR="003D0F37" w:rsidRPr="00E12E91" w:rsidRDefault="003D0F37" w:rsidP="003D0F37">
      <w:pPr>
        <w:pStyle w:val="EnvelopeReturn"/>
        <w:numPr>
          <w:ilvl w:val="0"/>
          <w:numId w:val="27"/>
        </w:numPr>
        <w:ind w:left="1080"/>
        <w:rPr>
          <w:rFonts w:asciiTheme="minorHAnsi" w:hAnsiTheme="minorHAnsi" w:cstheme="minorHAnsi"/>
          <w:noProof/>
          <w:sz w:val="22"/>
          <w:szCs w:val="22"/>
        </w:rPr>
      </w:pPr>
      <w:r w:rsidRPr="00E12E91">
        <w:rPr>
          <w:rFonts w:asciiTheme="minorHAnsi" w:hAnsiTheme="minorHAnsi" w:cstheme="minorHAnsi"/>
          <w:noProof/>
          <w:sz w:val="22"/>
          <w:szCs w:val="22"/>
        </w:rPr>
        <w:t xml:space="preserve">Inclusive and quality education </w:t>
      </w:r>
    </w:p>
    <w:p w14:paraId="191FBECB" w14:textId="77777777" w:rsidR="003D0F37" w:rsidRPr="00E12E91" w:rsidRDefault="003D0F37" w:rsidP="003D0F37">
      <w:pPr>
        <w:pStyle w:val="EnvelopeReturn"/>
        <w:numPr>
          <w:ilvl w:val="0"/>
          <w:numId w:val="27"/>
        </w:numPr>
        <w:ind w:left="1080"/>
        <w:rPr>
          <w:rFonts w:asciiTheme="minorHAnsi" w:hAnsiTheme="minorHAnsi" w:cstheme="minorHAnsi"/>
          <w:noProof/>
          <w:sz w:val="22"/>
          <w:szCs w:val="22"/>
        </w:rPr>
      </w:pPr>
      <w:r w:rsidRPr="00E12E91">
        <w:rPr>
          <w:rFonts w:asciiTheme="minorHAnsi" w:hAnsiTheme="minorHAnsi" w:cstheme="minorHAnsi"/>
          <w:noProof/>
          <w:sz w:val="22"/>
          <w:szCs w:val="22"/>
        </w:rPr>
        <w:t xml:space="preserve">Clear air, water and sanitation </w:t>
      </w:r>
    </w:p>
    <w:p w14:paraId="71E72359" w14:textId="77777777" w:rsidR="003D0F37" w:rsidRPr="00E12E91" w:rsidRDefault="003D0F37" w:rsidP="003D0F37">
      <w:pPr>
        <w:pStyle w:val="EnvelopeReturn"/>
        <w:numPr>
          <w:ilvl w:val="0"/>
          <w:numId w:val="27"/>
        </w:numPr>
        <w:ind w:left="1080"/>
        <w:rPr>
          <w:rFonts w:asciiTheme="minorHAnsi" w:hAnsiTheme="minorHAnsi" w:cstheme="minorHAnsi"/>
          <w:noProof/>
          <w:sz w:val="22"/>
          <w:szCs w:val="22"/>
        </w:rPr>
      </w:pPr>
      <w:r w:rsidRPr="00E12E91">
        <w:rPr>
          <w:rFonts w:asciiTheme="minorHAnsi" w:hAnsiTheme="minorHAnsi" w:cstheme="minorHAnsi"/>
          <w:noProof/>
          <w:sz w:val="22"/>
          <w:szCs w:val="22"/>
        </w:rPr>
        <w:t>Affordable, reliable, sustainable energy</w:t>
      </w:r>
    </w:p>
    <w:p w14:paraId="4B43F09D" w14:textId="77777777" w:rsidR="003D0F37" w:rsidRPr="00E12E91" w:rsidRDefault="003D0F37" w:rsidP="003D0F37">
      <w:pPr>
        <w:pStyle w:val="EnvelopeReturn"/>
        <w:ind w:left="1080"/>
        <w:rPr>
          <w:rFonts w:asciiTheme="minorHAnsi" w:hAnsiTheme="minorHAnsi" w:cstheme="minorHAnsi"/>
          <w:noProof/>
          <w:sz w:val="22"/>
          <w:szCs w:val="22"/>
        </w:rPr>
      </w:pPr>
    </w:p>
    <w:p w14:paraId="08728471" w14:textId="77777777" w:rsidR="003D0F37" w:rsidRPr="00E12E91" w:rsidRDefault="003D0F37" w:rsidP="003D0F37">
      <w:pPr>
        <w:pStyle w:val="EnvelopeReturn"/>
        <w:numPr>
          <w:ilvl w:val="0"/>
          <w:numId w:val="26"/>
        </w:numPr>
        <w:ind w:left="360"/>
        <w:rPr>
          <w:rFonts w:asciiTheme="minorHAnsi" w:hAnsiTheme="minorHAnsi" w:cstheme="minorHAnsi"/>
          <w:noProof/>
          <w:sz w:val="22"/>
          <w:szCs w:val="22"/>
        </w:rPr>
      </w:pPr>
      <w:r>
        <w:rPr>
          <w:rFonts w:asciiTheme="minorHAnsi" w:hAnsiTheme="minorHAnsi" w:cstheme="minorHAnsi"/>
          <w:noProof/>
          <w:sz w:val="22"/>
          <w:szCs w:val="22"/>
        </w:rPr>
        <w:t xml:space="preserve">Sustainable </w:t>
      </w:r>
      <w:r w:rsidRPr="00E12E91">
        <w:rPr>
          <w:rFonts w:asciiTheme="minorHAnsi" w:hAnsiTheme="minorHAnsi" w:cstheme="minorHAnsi"/>
          <w:noProof/>
          <w:sz w:val="22"/>
          <w:szCs w:val="22"/>
        </w:rPr>
        <w:t xml:space="preserve">economies and societiies </w:t>
      </w:r>
    </w:p>
    <w:p w14:paraId="2C4F8884" w14:textId="77777777" w:rsidR="003D0F37" w:rsidRPr="00E12E91" w:rsidRDefault="003D0F37" w:rsidP="003D0F37">
      <w:pPr>
        <w:pStyle w:val="EnvelopeReturn"/>
        <w:numPr>
          <w:ilvl w:val="0"/>
          <w:numId w:val="28"/>
        </w:numPr>
        <w:ind w:left="1080"/>
        <w:rPr>
          <w:rFonts w:asciiTheme="minorHAnsi" w:hAnsiTheme="minorHAnsi" w:cstheme="minorHAnsi"/>
          <w:noProof/>
          <w:sz w:val="22"/>
          <w:szCs w:val="22"/>
        </w:rPr>
      </w:pPr>
      <w:r w:rsidRPr="00E12E91">
        <w:rPr>
          <w:rFonts w:asciiTheme="minorHAnsi" w:hAnsiTheme="minorHAnsi" w:cstheme="minorHAnsi"/>
          <w:noProof/>
          <w:sz w:val="22"/>
          <w:szCs w:val="22"/>
        </w:rPr>
        <w:t>Sustainable livelihoods supported by strong foundations for inclusive growth and innovation</w:t>
      </w:r>
    </w:p>
    <w:p w14:paraId="023502E7" w14:textId="77777777" w:rsidR="003D0F37" w:rsidRPr="00E12E91" w:rsidRDefault="003D0F37" w:rsidP="003D0F37">
      <w:pPr>
        <w:pStyle w:val="EnvelopeReturn"/>
        <w:numPr>
          <w:ilvl w:val="0"/>
          <w:numId w:val="28"/>
        </w:numPr>
        <w:ind w:left="1080"/>
        <w:rPr>
          <w:rFonts w:asciiTheme="minorHAnsi" w:hAnsiTheme="minorHAnsi" w:cstheme="minorHAnsi"/>
          <w:noProof/>
          <w:sz w:val="22"/>
          <w:szCs w:val="22"/>
        </w:rPr>
      </w:pPr>
      <w:r w:rsidRPr="00E12E91">
        <w:rPr>
          <w:rFonts w:asciiTheme="minorHAnsi" w:hAnsiTheme="minorHAnsi" w:cstheme="minorHAnsi"/>
          <w:noProof/>
          <w:sz w:val="22"/>
          <w:szCs w:val="22"/>
        </w:rPr>
        <w:t>Resilience and action on short-term environmental shocks and long-term environmental change</w:t>
      </w:r>
    </w:p>
    <w:p w14:paraId="46BD0E51" w14:textId="77777777" w:rsidR="003D0F37" w:rsidRPr="00E12E91" w:rsidRDefault="003D0F37" w:rsidP="003D0F37">
      <w:pPr>
        <w:pStyle w:val="EnvelopeReturn"/>
        <w:numPr>
          <w:ilvl w:val="0"/>
          <w:numId w:val="28"/>
        </w:numPr>
        <w:ind w:left="1080"/>
        <w:rPr>
          <w:rFonts w:asciiTheme="minorHAnsi" w:hAnsiTheme="minorHAnsi" w:cstheme="minorHAnsi"/>
          <w:noProof/>
          <w:sz w:val="22"/>
          <w:szCs w:val="22"/>
        </w:rPr>
      </w:pPr>
      <w:r w:rsidRPr="00E12E91">
        <w:rPr>
          <w:rFonts w:asciiTheme="minorHAnsi" w:hAnsiTheme="minorHAnsi" w:cstheme="minorHAnsi"/>
          <w:noProof/>
          <w:sz w:val="22"/>
          <w:szCs w:val="22"/>
        </w:rPr>
        <w:t>Sustainable cities and communities</w:t>
      </w:r>
    </w:p>
    <w:p w14:paraId="5DDB0E52" w14:textId="77777777" w:rsidR="003D0F37" w:rsidRPr="00E12E91" w:rsidRDefault="003D0F37" w:rsidP="003D0F37">
      <w:pPr>
        <w:pStyle w:val="EnvelopeReturn"/>
        <w:rPr>
          <w:rFonts w:asciiTheme="minorHAnsi" w:hAnsiTheme="minorHAnsi" w:cstheme="minorHAnsi"/>
          <w:noProof/>
          <w:sz w:val="22"/>
          <w:szCs w:val="22"/>
        </w:rPr>
      </w:pPr>
    </w:p>
    <w:p w14:paraId="37C148EA" w14:textId="77777777" w:rsidR="003D0F37" w:rsidRPr="00E12E91" w:rsidRDefault="003D0F37" w:rsidP="003D0F37">
      <w:pPr>
        <w:pStyle w:val="EnvelopeReturn"/>
        <w:numPr>
          <w:ilvl w:val="0"/>
          <w:numId w:val="26"/>
        </w:numPr>
        <w:ind w:left="360"/>
        <w:rPr>
          <w:rFonts w:asciiTheme="minorHAnsi" w:hAnsiTheme="minorHAnsi" w:cstheme="minorHAnsi"/>
          <w:noProof/>
          <w:sz w:val="22"/>
          <w:szCs w:val="22"/>
        </w:rPr>
      </w:pPr>
      <w:r w:rsidRPr="00E12E91">
        <w:rPr>
          <w:rFonts w:asciiTheme="minorHAnsi" w:hAnsiTheme="minorHAnsi" w:cstheme="minorHAnsi"/>
          <w:noProof/>
          <w:sz w:val="22"/>
          <w:szCs w:val="22"/>
        </w:rPr>
        <w:t>Human rights, good governance and social justice</w:t>
      </w:r>
    </w:p>
    <w:p w14:paraId="0D170CC8" w14:textId="77777777" w:rsidR="003D0F37" w:rsidRPr="00E12E91" w:rsidRDefault="003D0F37" w:rsidP="003D0F37">
      <w:pPr>
        <w:pStyle w:val="EnvelopeReturn"/>
        <w:numPr>
          <w:ilvl w:val="0"/>
          <w:numId w:val="29"/>
        </w:numPr>
        <w:ind w:left="1080"/>
        <w:rPr>
          <w:rFonts w:asciiTheme="minorHAnsi" w:hAnsiTheme="minorHAnsi" w:cstheme="minorHAnsi"/>
          <w:noProof/>
          <w:sz w:val="22"/>
          <w:szCs w:val="22"/>
        </w:rPr>
      </w:pPr>
      <w:r w:rsidRPr="00E12E91">
        <w:rPr>
          <w:rFonts w:asciiTheme="minorHAnsi" w:hAnsiTheme="minorHAnsi" w:cstheme="minorHAnsi"/>
          <w:noProof/>
          <w:sz w:val="22"/>
          <w:szCs w:val="22"/>
        </w:rPr>
        <w:t>Undestand and respond effectively to forced displacement and multiple refugee crises</w:t>
      </w:r>
    </w:p>
    <w:p w14:paraId="4962D71C" w14:textId="77777777" w:rsidR="003D0F37" w:rsidRDefault="003D0F37" w:rsidP="003D0F37">
      <w:pPr>
        <w:pStyle w:val="EnvelopeReturn"/>
        <w:numPr>
          <w:ilvl w:val="0"/>
          <w:numId w:val="29"/>
        </w:numPr>
        <w:ind w:left="1080"/>
        <w:rPr>
          <w:rFonts w:asciiTheme="minorHAnsi" w:hAnsiTheme="minorHAnsi" w:cstheme="minorHAnsi"/>
          <w:noProof/>
          <w:sz w:val="22"/>
          <w:szCs w:val="22"/>
        </w:rPr>
      </w:pPr>
      <w:r w:rsidRPr="00E12E91">
        <w:rPr>
          <w:rFonts w:asciiTheme="minorHAnsi" w:hAnsiTheme="minorHAnsi" w:cstheme="minorHAnsi"/>
          <w:noProof/>
          <w:sz w:val="22"/>
          <w:szCs w:val="22"/>
        </w:rPr>
        <w:t xml:space="preserve">Reduce conflict and promote peace, justice and humanitarian action </w:t>
      </w:r>
    </w:p>
    <w:p w14:paraId="41A6BF18" w14:textId="275252A9" w:rsidR="003D0F37" w:rsidRDefault="003D0F37" w:rsidP="003D0F37">
      <w:pPr>
        <w:pStyle w:val="EnvelopeReturn"/>
        <w:numPr>
          <w:ilvl w:val="0"/>
          <w:numId w:val="29"/>
        </w:numPr>
        <w:ind w:left="1080"/>
        <w:rPr>
          <w:rFonts w:asciiTheme="minorHAnsi" w:hAnsiTheme="minorHAnsi" w:cstheme="minorHAnsi"/>
          <w:noProof/>
          <w:sz w:val="22"/>
          <w:szCs w:val="22"/>
        </w:rPr>
      </w:pPr>
      <w:r w:rsidRPr="003D0F37">
        <w:rPr>
          <w:rFonts w:asciiTheme="minorHAnsi" w:hAnsiTheme="minorHAnsi" w:cstheme="minorHAnsi"/>
          <w:noProof/>
          <w:sz w:val="22"/>
          <w:szCs w:val="22"/>
        </w:rPr>
        <w:t>Reduce poverty and inequality, including gender inequalities</w:t>
      </w:r>
    </w:p>
    <w:p w14:paraId="1C39E3C1" w14:textId="77777777" w:rsidR="00DE390F" w:rsidRPr="003D0F37" w:rsidRDefault="00DE390F" w:rsidP="00624781">
      <w:pPr>
        <w:pStyle w:val="EnvelopeReturn"/>
        <w:rPr>
          <w:rFonts w:asciiTheme="minorHAnsi" w:hAnsiTheme="minorHAnsi" w:cstheme="minorHAnsi"/>
          <w:noProof/>
          <w:sz w:val="22"/>
          <w:szCs w:val="22"/>
        </w:rPr>
      </w:pPr>
    </w:p>
    <w:p w14:paraId="6BF81B1B" w14:textId="54DBC684" w:rsidR="00DE390F" w:rsidRPr="00624781" w:rsidRDefault="00CC2C2E" w:rsidP="00624781">
      <w:pPr>
        <w:spacing w:after="60"/>
      </w:pPr>
      <w:r>
        <w:t>While bids from the above Challenge Areas are welcome, c</w:t>
      </w:r>
      <w:r w:rsidR="00DE390F" w:rsidRPr="00624781">
        <w:t xml:space="preserve">onsideration will be given to </w:t>
      </w:r>
      <w:r w:rsidR="000F2F4A">
        <w:t xml:space="preserve">the </w:t>
      </w:r>
      <w:r>
        <w:t xml:space="preserve">themes below which have been identified by </w:t>
      </w:r>
      <w:r w:rsidR="00967312" w:rsidRPr="00967312">
        <w:t>Sussex researchers</w:t>
      </w:r>
      <w:r>
        <w:t xml:space="preserve"> as priority sustainability areas:</w:t>
      </w:r>
    </w:p>
    <w:p w14:paraId="54287C78" w14:textId="77777777" w:rsidR="00DE390F" w:rsidRPr="00DE390F" w:rsidRDefault="00DE390F" w:rsidP="00624781">
      <w:pPr>
        <w:pStyle w:val="ListParagraph"/>
        <w:numPr>
          <w:ilvl w:val="0"/>
          <w:numId w:val="25"/>
        </w:numPr>
        <w:spacing w:after="60" w:line="240" w:lineRule="auto"/>
        <w:contextualSpacing w:val="0"/>
      </w:pPr>
      <w:r w:rsidRPr="00624781">
        <w:rPr>
          <w:bCs/>
        </w:rPr>
        <w:t>SDG interactions in critical transition zones – peri-urban and forest margins.</w:t>
      </w:r>
      <w:r w:rsidRPr="00DE390F">
        <w:t xml:space="preserve"> </w:t>
      </w:r>
    </w:p>
    <w:p w14:paraId="303BF179" w14:textId="77777777" w:rsidR="00DE390F" w:rsidRPr="00624781" w:rsidRDefault="00DE390F" w:rsidP="00624781">
      <w:pPr>
        <w:spacing w:after="60"/>
        <w:ind w:left="360"/>
        <w:rPr>
          <w:sz w:val="20"/>
          <w:szCs w:val="20"/>
        </w:rPr>
      </w:pPr>
      <w:r w:rsidRPr="00624781">
        <w:rPr>
          <w:sz w:val="20"/>
          <w:szCs w:val="20"/>
        </w:rPr>
        <w:t xml:space="preserve">e.g. assessing interactions among goals for food, urbanization, and biodiversity, or between goals for deforestation and health in peri-urban or forest margin areas. </w:t>
      </w:r>
    </w:p>
    <w:p w14:paraId="79677CEC" w14:textId="77777777" w:rsidR="00DE390F" w:rsidRPr="00DE390F" w:rsidRDefault="00DE390F" w:rsidP="00624781">
      <w:pPr>
        <w:pStyle w:val="ListParagraph"/>
        <w:numPr>
          <w:ilvl w:val="0"/>
          <w:numId w:val="25"/>
        </w:numPr>
        <w:spacing w:after="60" w:line="240" w:lineRule="auto"/>
        <w:contextualSpacing w:val="0"/>
      </w:pPr>
      <w:r w:rsidRPr="00624781">
        <w:rPr>
          <w:bCs/>
        </w:rPr>
        <w:t>The impact of economic globalization on SDG interactions and implementation.</w:t>
      </w:r>
      <w:r w:rsidRPr="00DE390F">
        <w:t xml:space="preserve"> </w:t>
      </w:r>
    </w:p>
    <w:p w14:paraId="12306299" w14:textId="77777777" w:rsidR="00DE390F" w:rsidRPr="00624781" w:rsidRDefault="00DE390F" w:rsidP="00624781">
      <w:pPr>
        <w:pStyle w:val="ListParagraph"/>
        <w:spacing w:after="60"/>
        <w:ind w:left="360"/>
        <w:contextualSpacing w:val="0"/>
        <w:rPr>
          <w:sz w:val="20"/>
          <w:szCs w:val="20"/>
        </w:rPr>
      </w:pPr>
      <w:r w:rsidRPr="00624781">
        <w:rPr>
          <w:sz w:val="20"/>
          <w:szCs w:val="20"/>
        </w:rPr>
        <w:t xml:space="preserve">e.g. investigating the impact of international debt on the SDGs; or the role of trade in achieving the SDGs. </w:t>
      </w:r>
    </w:p>
    <w:p w14:paraId="5F2C40E5" w14:textId="77777777" w:rsidR="00DE390F" w:rsidRPr="00DE390F" w:rsidRDefault="00DE390F" w:rsidP="00624781">
      <w:pPr>
        <w:pStyle w:val="ListParagraph"/>
        <w:numPr>
          <w:ilvl w:val="0"/>
          <w:numId w:val="25"/>
        </w:numPr>
        <w:spacing w:after="60" w:line="240" w:lineRule="auto"/>
        <w:contextualSpacing w:val="0"/>
      </w:pPr>
      <w:r w:rsidRPr="00624781">
        <w:rPr>
          <w:bCs/>
        </w:rPr>
        <w:t>Rights-based approaches to stimulate action on the SDGs</w:t>
      </w:r>
    </w:p>
    <w:p w14:paraId="3FC2834F" w14:textId="77777777" w:rsidR="00DE390F" w:rsidRPr="00624781" w:rsidRDefault="00DE390F" w:rsidP="00624781">
      <w:pPr>
        <w:spacing w:after="60"/>
        <w:ind w:left="360"/>
        <w:rPr>
          <w:sz w:val="20"/>
          <w:szCs w:val="20"/>
        </w:rPr>
      </w:pPr>
      <w:r w:rsidRPr="00624781">
        <w:rPr>
          <w:sz w:val="20"/>
          <w:szCs w:val="20"/>
        </w:rPr>
        <w:t xml:space="preserve">e.g. assessing the role of environmental and social justice for advancing sustainable and equitable development. </w:t>
      </w:r>
    </w:p>
    <w:p w14:paraId="029582BC" w14:textId="77777777" w:rsidR="00DE390F" w:rsidRPr="00DE390F" w:rsidRDefault="00DE390F" w:rsidP="00624781">
      <w:pPr>
        <w:pStyle w:val="ListParagraph"/>
        <w:numPr>
          <w:ilvl w:val="0"/>
          <w:numId w:val="25"/>
        </w:numPr>
        <w:spacing w:after="60" w:line="240" w:lineRule="auto"/>
        <w:contextualSpacing w:val="0"/>
      </w:pPr>
      <w:r w:rsidRPr="00624781">
        <w:rPr>
          <w:bCs/>
        </w:rPr>
        <w:t>Novel tools and methods to support implementation of the SDGs</w:t>
      </w:r>
    </w:p>
    <w:p w14:paraId="3CC51474" w14:textId="77777777" w:rsidR="00DE390F" w:rsidRPr="00624781" w:rsidRDefault="00DE390F" w:rsidP="00624781">
      <w:pPr>
        <w:spacing w:after="60"/>
        <w:ind w:left="360"/>
        <w:rPr>
          <w:sz w:val="20"/>
          <w:szCs w:val="20"/>
        </w:rPr>
      </w:pPr>
      <w:r w:rsidRPr="00624781">
        <w:rPr>
          <w:sz w:val="20"/>
          <w:szCs w:val="20"/>
        </w:rPr>
        <w:t xml:space="preserve">e.g. combining geospatial analysis, modelling and participatory appraisal for analysing changes in resource use in complex environments. </w:t>
      </w:r>
    </w:p>
    <w:p w14:paraId="13CFB01B" w14:textId="77777777" w:rsidR="00DE390F" w:rsidRPr="00DE390F" w:rsidRDefault="00DE390F" w:rsidP="00624781">
      <w:pPr>
        <w:pStyle w:val="ListParagraph"/>
        <w:numPr>
          <w:ilvl w:val="0"/>
          <w:numId w:val="25"/>
        </w:numPr>
        <w:spacing w:after="60" w:line="240" w:lineRule="auto"/>
        <w:contextualSpacing w:val="0"/>
      </w:pPr>
      <w:r w:rsidRPr="00624781">
        <w:rPr>
          <w:bCs/>
        </w:rPr>
        <w:t xml:space="preserve">Planetary health, especially linking the health SDG with environmental-related SDGs </w:t>
      </w:r>
    </w:p>
    <w:p w14:paraId="21A3A672" w14:textId="77777777" w:rsidR="00DE390F" w:rsidRPr="00624781" w:rsidRDefault="00DE390F" w:rsidP="00624781">
      <w:pPr>
        <w:spacing w:after="60"/>
        <w:ind w:left="360"/>
        <w:rPr>
          <w:sz w:val="20"/>
          <w:szCs w:val="20"/>
        </w:rPr>
      </w:pPr>
      <w:r w:rsidRPr="00624781">
        <w:rPr>
          <w:sz w:val="20"/>
          <w:szCs w:val="20"/>
        </w:rPr>
        <w:lastRenderedPageBreak/>
        <w:t xml:space="preserve">e.g.  investigating environmental pathways of antimicrobial resistance; or, the connection between risk to human health and environmental conservation.  </w:t>
      </w:r>
    </w:p>
    <w:p w14:paraId="77C44317" w14:textId="77777777" w:rsidR="00DE390F" w:rsidRPr="00DE390F" w:rsidRDefault="00DE390F" w:rsidP="00624781">
      <w:pPr>
        <w:pStyle w:val="ListParagraph"/>
        <w:numPr>
          <w:ilvl w:val="0"/>
          <w:numId w:val="25"/>
        </w:numPr>
        <w:spacing w:after="60" w:line="240" w:lineRule="auto"/>
        <w:contextualSpacing w:val="0"/>
      </w:pPr>
      <w:r w:rsidRPr="00624781">
        <w:rPr>
          <w:bCs/>
        </w:rPr>
        <w:t xml:space="preserve">Sustainable supply chain management as an approach for achieving the SDGs </w:t>
      </w:r>
    </w:p>
    <w:p w14:paraId="3F4EB81A" w14:textId="77777777" w:rsidR="00DE390F" w:rsidRPr="00DE390F" w:rsidRDefault="00DE390F" w:rsidP="00624781">
      <w:pPr>
        <w:spacing w:after="60"/>
        <w:ind w:left="360"/>
      </w:pPr>
      <w:r w:rsidRPr="00624781">
        <w:rPr>
          <w:sz w:val="20"/>
          <w:szCs w:val="20"/>
        </w:rPr>
        <w:t xml:space="preserve">e.g.  Developing new practices and procedures for advancing sustainable supply chain management and its use for implementing the SDGs. </w:t>
      </w:r>
    </w:p>
    <w:p w14:paraId="041FC05F" w14:textId="1B7B7B3D" w:rsidR="00DE390F" w:rsidRPr="00624781" w:rsidRDefault="00DE390F" w:rsidP="00DE390F">
      <w:pPr>
        <w:pStyle w:val="ListParagraph"/>
        <w:numPr>
          <w:ilvl w:val="0"/>
          <w:numId w:val="25"/>
        </w:numPr>
        <w:spacing w:after="0" w:line="240" w:lineRule="auto"/>
      </w:pPr>
      <w:r w:rsidRPr="00624781">
        <w:rPr>
          <w:bCs/>
        </w:rPr>
        <w:t xml:space="preserve">The interactions between agriculture and climate change in the SDGs.  </w:t>
      </w:r>
      <w:r w:rsidRPr="00624781">
        <w:rPr>
          <w:sz w:val="20"/>
          <w:szCs w:val="20"/>
        </w:rPr>
        <w:t>e.g. Investigating the threat of climate change to achieving hunger reduction goals in Africa, and institutional responses to this threat.</w:t>
      </w:r>
    </w:p>
    <w:p w14:paraId="05B36563" w14:textId="27A09AAD" w:rsidR="00DE390F" w:rsidRDefault="00DE390F" w:rsidP="00F67E70">
      <w:pPr>
        <w:spacing w:after="0"/>
        <w:rPr>
          <w:color w:val="1F497D"/>
        </w:rPr>
      </w:pPr>
    </w:p>
    <w:p w14:paraId="1A82A483" w14:textId="768D1DE3" w:rsidR="0038100A" w:rsidRPr="00AE2DF6" w:rsidRDefault="00510E32" w:rsidP="00F67E70">
      <w:pPr>
        <w:spacing w:after="0"/>
        <w:rPr>
          <w:rFonts w:ascii="Calibri" w:hAnsi="Calibri"/>
          <w:b/>
        </w:rPr>
      </w:pPr>
      <w:r w:rsidRPr="00AE2DF6">
        <w:rPr>
          <w:rFonts w:ascii="Calibri" w:hAnsi="Calibri"/>
          <w:b/>
        </w:rPr>
        <w:t>Eligible activities</w:t>
      </w:r>
      <w:r w:rsidR="001D1C14" w:rsidRPr="00AE2DF6">
        <w:rPr>
          <w:rFonts w:ascii="Calibri" w:hAnsi="Calibri"/>
          <w:b/>
        </w:rPr>
        <w:t xml:space="preserve"> and funding:</w:t>
      </w:r>
    </w:p>
    <w:p w14:paraId="37882195" w14:textId="77F758C8" w:rsidR="00510E32" w:rsidRPr="00AE2DF6" w:rsidRDefault="00DE390F" w:rsidP="00510E32">
      <w:pPr>
        <w:spacing w:after="0"/>
        <w:rPr>
          <w:rFonts w:ascii="Calibri" w:hAnsi="Calibri"/>
        </w:rPr>
      </w:pPr>
      <w:r>
        <w:rPr>
          <w:rFonts w:ascii="Calibri" w:hAnsi="Calibri"/>
        </w:rPr>
        <w:t>F</w:t>
      </w:r>
      <w:r w:rsidR="0038100A" w:rsidRPr="00AE2DF6">
        <w:rPr>
          <w:rFonts w:ascii="Calibri" w:hAnsi="Calibri"/>
        </w:rPr>
        <w:t xml:space="preserve">unding </w:t>
      </w:r>
      <w:r w:rsidR="00510E32" w:rsidRPr="00AE2DF6">
        <w:rPr>
          <w:rFonts w:ascii="Calibri" w:hAnsi="Calibri"/>
        </w:rPr>
        <w:t>can</w:t>
      </w:r>
      <w:r w:rsidR="0038100A" w:rsidRPr="00AE2DF6">
        <w:rPr>
          <w:rFonts w:ascii="Calibri" w:hAnsi="Calibri"/>
        </w:rPr>
        <w:t xml:space="preserve"> be used to develop new ODA compliant research, add new strands to already existing ODA compliant activity, and/or repurpose unsuccessful but positively reviewed ODA compliant external funding applications to any sponsor. </w:t>
      </w:r>
      <w:r w:rsidR="00510E32" w:rsidRPr="00AE2DF6">
        <w:rPr>
          <w:rFonts w:ascii="Calibri" w:hAnsi="Calibri"/>
        </w:rPr>
        <w:t xml:space="preserve"> </w:t>
      </w:r>
      <w:r w:rsidR="00EE6D0E">
        <w:rPr>
          <w:rFonts w:ascii="Calibri" w:hAnsi="Calibri"/>
        </w:rPr>
        <w:t>However, as noted above, a small amount of funding in this Call will be available to support UK-based research that has high potential for generating knowledge transferable to DAC countries.</w:t>
      </w:r>
    </w:p>
    <w:p w14:paraId="175862A2" w14:textId="6C3981DC" w:rsidR="00510E32" w:rsidRDefault="00510E32" w:rsidP="00510E32">
      <w:pPr>
        <w:spacing w:after="0"/>
        <w:rPr>
          <w:rFonts w:ascii="Calibri" w:hAnsi="Calibri"/>
          <w:color w:val="0070C0"/>
        </w:rPr>
      </w:pPr>
    </w:p>
    <w:p w14:paraId="7815835C" w14:textId="19398077" w:rsidR="001C6A33" w:rsidRPr="001C6A33" w:rsidRDefault="001D1C14" w:rsidP="001C6A33">
      <w:pPr>
        <w:spacing w:after="0"/>
        <w:rPr>
          <w:rFonts w:ascii="Calibri" w:hAnsi="Calibri"/>
        </w:rPr>
      </w:pPr>
      <w:r w:rsidRPr="001C6A33">
        <w:rPr>
          <w:rFonts w:ascii="Calibri" w:hAnsi="Calibri"/>
        </w:rPr>
        <w:t xml:space="preserve">We envisage funding projects and activity across a range of size and scope.  As such, applicants can request funding for projects from between £1k to £25k. </w:t>
      </w:r>
      <w:r w:rsidR="001C6A33" w:rsidRPr="001C6A33">
        <w:rPr>
          <w:rFonts w:ascii="Calibri" w:hAnsi="Calibri"/>
        </w:rPr>
        <w:t>A portion of your budget may flow</w:t>
      </w:r>
      <w:r w:rsidR="00AE2DF6">
        <w:rPr>
          <w:rFonts w:ascii="Calibri" w:hAnsi="Calibri"/>
        </w:rPr>
        <w:t xml:space="preserve"> to your DAC country partner(s) and</w:t>
      </w:r>
      <w:r w:rsidR="001C6A33" w:rsidRPr="001C6A33">
        <w:rPr>
          <w:rFonts w:ascii="Calibri" w:hAnsi="Calibri"/>
        </w:rPr>
        <w:t xml:space="preserve"> should b</w:t>
      </w:r>
      <w:r w:rsidR="001C6A33">
        <w:rPr>
          <w:rFonts w:ascii="Calibri" w:hAnsi="Calibri"/>
        </w:rPr>
        <w:t xml:space="preserve">e clearly indicated in section </w:t>
      </w:r>
      <w:r w:rsidR="00111F89" w:rsidRPr="00111F89">
        <w:rPr>
          <w:rFonts w:ascii="Calibri" w:hAnsi="Calibri"/>
        </w:rPr>
        <w:t>6</w:t>
      </w:r>
      <w:r w:rsidR="001C6A33" w:rsidRPr="001C6A33">
        <w:rPr>
          <w:rFonts w:ascii="Calibri" w:hAnsi="Calibri"/>
        </w:rPr>
        <w:t xml:space="preserve"> of the application.</w:t>
      </w:r>
    </w:p>
    <w:p w14:paraId="3FE6B83B" w14:textId="77777777" w:rsidR="001D1C14" w:rsidRPr="001D1C14" w:rsidRDefault="001D1C14" w:rsidP="001D1C14">
      <w:pPr>
        <w:spacing w:after="0"/>
        <w:rPr>
          <w:rFonts w:ascii="Calibri" w:hAnsi="Calibri"/>
        </w:rPr>
      </w:pPr>
    </w:p>
    <w:p w14:paraId="38D7260D" w14:textId="67CEDB72" w:rsidR="001251AA" w:rsidRPr="00AE2DF6" w:rsidRDefault="004032D5" w:rsidP="00510E32">
      <w:pPr>
        <w:spacing w:after="0"/>
        <w:rPr>
          <w:rFonts w:ascii="Calibri" w:hAnsi="Calibri"/>
        </w:rPr>
      </w:pPr>
      <w:r w:rsidRPr="00AE2DF6">
        <w:rPr>
          <w:rFonts w:ascii="Calibri" w:hAnsi="Calibri"/>
        </w:rPr>
        <w:t>T</w:t>
      </w:r>
      <w:r w:rsidR="001251AA" w:rsidRPr="00AE2DF6">
        <w:rPr>
          <w:rFonts w:ascii="Calibri" w:hAnsi="Calibri"/>
        </w:rPr>
        <w:t>he following types of activity</w:t>
      </w:r>
      <w:r w:rsidR="001D1C14" w:rsidRPr="00AE2DF6">
        <w:rPr>
          <w:rFonts w:ascii="Calibri" w:hAnsi="Calibri"/>
        </w:rPr>
        <w:t xml:space="preserve"> and costs</w:t>
      </w:r>
      <w:r w:rsidR="001251AA" w:rsidRPr="00AE2DF6">
        <w:rPr>
          <w:rFonts w:ascii="Calibri" w:hAnsi="Calibri"/>
        </w:rPr>
        <w:t xml:space="preserve"> are eligible:  </w:t>
      </w:r>
    </w:p>
    <w:p w14:paraId="05C58560" w14:textId="77777777" w:rsidR="001D1C14" w:rsidRPr="00AE2DF6" w:rsidRDefault="001D1C14" w:rsidP="00510E32">
      <w:pPr>
        <w:spacing w:after="0"/>
        <w:rPr>
          <w:rFonts w:ascii="Calibri" w:hAnsi="Calibri"/>
        </w:rPr>
      </w:pPr>
    </w:p>
    <w:p w14:paraId="55FB5491" w14:textId="0CDAC0CD" w:rsidR="007D3682" w:rsidRDefault="008C2F06" w:rsidP="00AE2DF6">
      <w:pPr>
        <w:pStyle w:val="ListParagraph"/>
        <w:numPr>
          <w:ilvl w:val="0"/>
          <w:numId w:val="36"/>
        </w:numPr>
        <w:spacing w:after="0"/>
        <w:ind w:left="426" w:hanging="426"/>
        <w:rPr>
          <w:rFonts w:ascii="Calibri" w:hAnsi="Calibri"/>
        </w:rPr>
      </w:pPr>
      <w:r w:rsidRPr="00AE2DF6">
        <w:rPr>
          <w:rFonts w:ascii="Calibri" w:hAnsi="Calibri"/>
          <w:b/>
        </w:rPr>
        <w:t>Pump-priming</w:t>
      </w:r>
      <w:r w:rsidR="003601A9" w:rsidRPr="00AE2DF6">
        <w:rPr>
          <w:rFonts w:ascii="Calibri" w:hAnsi="Calibri"/>
          <w:b/>
        </w:rPr>
        <w:t xml:space="preserve"> challenge led activities</w:t>
      </w:r>
      <w:r w:rsidR="001D1C14" w:rsidRPr="00AE2DF6">
        <w:rPr>
          <w:rFonts w:ascii="Calibri" w:hAnsi="Calibri"/>
          <w:b/>
        </w:rPr>
        <w:t xml:space="preserve">: </w:t>
      </w:r>
      <w:r w:rsidR="003601A9" w:rsidRPr="00AE2DF6">
        <w:rPr>
          <w:rFonts w:ascii="Calibri" w:hAnsi="Calibri"/>
        </w:rPr>
        <w:t>t</w:t>
      </w:r>
      <w:r w:rsidRPr="00AE2DF6">
        <w:rPr>
          <w:rFonts w:ascii="Calibri" w:hAnsi="Calibri"/>
        </w:rPr>
        <w:t xml:space="preserve">his may include </w:t>
      </w:r>
      <w:r w:rsidR="003601A9" w:rsidRPr="00AE2DF6">
        <w:rPr>
          <w:rFonts w:ascii="Calibri" w:hAnsi="Calibri"/>
        </w:rPr>
        <w:t xml:space="preserve">exploratory </w:t>
      </w:r>
      <w:r w:rsidR="00D25A2D" w:rsidRPr="00AE2DF6">
        <w:rPr>
          <w:rFonts w:ascii="Calibri" w:hAnsi="Calibri"/>
        </w:rPr>
        <w:t>network</w:t>
      </w:r>
      <w:r w:rsidRPr="00AE2DF6">
        <w:rPr>
          <w:rFonts w:ascii="Calibri" w:hAnsi="Calibri"/>
        </w:rPr>
        <w:t xml:space="preserve"> meetings</w:t>
      </w:r>
      <w:r w:rsidR="003601A9" w:rsidRPr="00AE2DF6">
        <w:rPr>
          <w:rFonts w:ascii="Calibri" w:hAnsi="Calibri"/>
        </w:rPr>
        <w:t xml:space="preserve"> and pump-priming to identify what the research contribution to the DAC country challenge is</w:t>
      </w:r>
      <w:r w:rsidR="00D25A2D" w:rsidRPr="00AE2DF6">
        <w:rPr>
          <w:rFonts w:ascii="Calibri" w:hAnsi="Calibri"/>
        </w:rPr>
        <w:t xml:space="preserve"> and</w:t>
      </w:r>
      <w:r w:rsidRPr="00AE2DF6">
        <w:rPr>
          <w:rFonts w:ascii="Calibri" w:hAnsi="Calibri"/>
        </w:rPr>
        <w:t xml:space="preserve"> to dev</w:t>
      </w:r>
      <w:r w:rsidR="009E007C" w:rsidRPr="00AE2DF6">
        <w:rPr>
          <w:rFonts w:ascii="Calibri" w:hAnsi="Calibri"/>
        </w:rPr>
        <w:t xml:space="preserve">elop sustainable strategies, </w:t>
      </w:r>
      <w:r w:rsidRPr="00AE2DF6">
        <w:rPr>
          <w:rFonts w:ascii="Calibri" w:hAnsi="Calibri"/>
        </w:rPr>
        <w:t xml:space="preserve">partnerships and projects to generate preliminary data.  The outcomes of pump-priming activity should inform more substantive ODA compliant research. </w:t>
      </w:r>
      <w:r w:rsidR="007D3682" w:rsidRPr="00AE2DF6">
        <w:rPr>
          <w:rFonts w:ascii="Calibri" w:hAnsi="Calibri"/>
        </w:rPr>
        <w:t xml:space="preserve">For instance, eligible funds would include </w:t>
      </w:r>
      <w:r w:rsidR="007D3682" w:rsidRPr="00AE2DF6">
        <w:rPr>
          <w:rFonts w:ascii="Calibri" w:hAnsi="Calibri"/>
          <w:b/>
        </w:rPr>
        <w:t>directly incurred costs only</w:t>
      </w:r>
      <w:r w:rsidR="007D3682" w:rsidRPr="00AE2DF6">
        <w:rPr>
          <w:rFonts w:ascii="Calibri" w:hAnsi="Calibri"/>
        </w:rPr>
        <w:t xml:space="preserve">, such as research &amp; technical assistance, recruitment costs, consumables, travel and subsistence, fieldwork, survey costs, and project specific workshops. Please note that applicants can request funds for project-specific equipment, however a strong justification is needed in section </w:t>
      </w:r>
      <w:r w:rsidR="00111F89" w:rsidRPr="00111F89">
        <w:rPr>
          <w:rFonts w:ascii="Calibri" w:hAnsi="Calibri"/>
        </w:rPr>
        <w:t>6c</w:t>
      </w:r>
      <w:r w:rsidR="007D3682" w:rsidRPr="00AE2DF6">
        <w:rPr>
          <w:rFonts w:ascii="Calibri" w:hAnsi="Calibri"/>
        </w:rPr>
        <w:t xml:space="preserve"> of the application.</w:t>
      </w:r>
    </w:p>
    <w:p w14:paraId="6DA56088" w14:textId="77777777" w:rsidR="00AE2DF6" w:rsidRDefault="00AE2DF6" w:rsidP="00AE2DF6">
      <w:pPr>
        <w:pStyle w:val="ListParagraph"/>
        <w:spacing w:after="0"/>
        <w:ind w:left="426"/>
        <w:rPr>
          <w:rFonts w:ascii="Calibri" w:hAnsi="Calibri"/>
        </w:rPr>
      </w:pPr>
    </w:p>
    <w:p w14:paraId="64ED73CF" w14:textId="667611FB" w:rsidR="007D3682" w:rsidRDefault="00AC5DA9" w:rsidP="00AE2DF6">
      <w:pPr>
        <w:pStyle w:val="ListParagraph"/>
        <w:numPr>
          <w:ilvl w:val="0"/>
          <w:numId w:val="36"/>
        </w:numPr>
        <w:spacing w:after="0"/>
        <w:ind w:left="426" w:hanging="426"/>
        <w:rPr>
          <w:rFonts w:ascii="Calibri" w:hAnsi="Calibri"/>
        </w:rPr>
      </w:pPr>
      <w:r w:rsidRPr="00AE2DF6">
        <w:rPr>
          <w:rFonts w:ascii="Calibri" w:hAnsi="Calibri"/>
          <w:b/>
        </w:rPr>
        <w:t>Capacity and capability building:</w:t>
      </w:r>
      <w:r w:rsidRPr="00AE2DF6">
        <w:rPr>
          <w:rFonts w:ascii="Calibri" w:hAnsi="Calibri"/>
        </w:rPr>
        <w:t xml:space="preserve"> </w:t>
      </w:r>
      <w:r w:rsidR="00ED35B4" w:rsidRPr="00AE2DF6">
        <w:rPr>
          <w:rFonts w:ascii="Calibri" w:hAnsi="Calibri"/>
        </w:rPr>
        <w:t xml:space="preserve"> </w:t>
      </w:r>
      <w:r w:rsidR="00BB02D5" w:rsidRPr="00AE2DF6">
        <w:rPr>
          <w:rFonts w:ascii="Calibri" w:hAnsi="Calibri"/>
        </w:rPr>
        <w:t>a</w:t>
      </w:r>
      <w:r w:rsidRPr="00AE2DF6">
        <w:t>ctivities can involve establishing or enhancing</w:t>
      </w:r>
      <w:r w:rsidR="009E007C" w:rsidRPr="00AE2DF6">
        <w:t xml:space="preserve"> sustainable</w:t>
      </w:r>
      <w:r w:rsidR="00545670" w:rsidRPr="00AE2DF6">
        <w:t xml:space="preserve"> and equitable</w:t>
      </w:r>
      <w:r w:rsidR="009E007C" w:rsidRPr="00AE2DF6">
        <w:t xml:space="preserve"> partnerships with</w:t>
      </w:r>
      <w:r w:rsidRPr="00AE2DF6">
        <w:t xml:space="preserve"> DAC list countries, growing people-based capacity and capability to undertake ODA </w:t>
      </w:r>
      <w:r w:rsidR="00545670" w:rsidRPr="00AE2DF6">
        <w:t xml:space="preserve">compliant </w:t>
      </w:r>
      <w:r w:rsidRPr="00AE2DF6">
        <w:t>research in developing countries and t</w:t>
      </w:r>
      <w:r w:rsidR="00BB02D5" w:rsidRPr="00AE2DF6">
        <w:t>he UK.</w:t>
      </w:r>
      <w:r w:rsidR="00670811" w:rsidRPr="00AE2DF6">
        <w:t xml:space="preserve"> </w:t>
      </w:r>
      <w:r w:rsidR="001C6A33" w:rsidRPr="00AE2DF6">
        <w:t>This means travel</w:t>
      </w:r>
      <w:r w:rsidR="007D3682" w:rsidRPr="00AE2DF6">
        <w:t xml:space="preserve"> to and from DAC countries, including </w:t>
      </w:r>
      <w:r w:rsidR="00670811" w:rsidRPr="00AE2DF6">
        <w:t xml:space="preserve">hosting </w:t>
      </w:r>
      <w:r w:rsidR="007D3682" w:rsidRPr="00AE2DF6">
        <w:t>researchers</w:t>
      </w:r>
      <w:r w:rsidR="00670811" w:rsidRPr="00AE2DF6">
        <w:t xml:space="preserve"> from DAC countries</w:t>
      </w:r>
      <w:r w:rsidR="007D3682" w:rsidRPr="00AE2DF6">
        <w:t xml:space="preserve"> </w:t>
      </w:r>
      <w:r w:rsidR="001C6A33" w:rsidRPr="00AE2DF6">
        <w:t>at Sussex</w:t>
      </w:r>
      <w:r w:rsidR="00670811" w:rsidRPr="00AE2DF6">
        <w:t xml:space="preserve">. </w:t>
      </w:r>
      <w:r w:rsidR="007D3682" w:rsidRPr="00AE2DF6">
        <w:rPr>
          <w:rFonts w:ascii="Calibri" w:hAnsi="Calibri"/>
        </w:rPr>
        <w:t>Funds can cover travel, subsistence, visas, a stipend and any applicable School bench fees.</w:t>
      </w:r>
      <w:r w:rsidR="001C6A33" w:rsidRPr="00AE2DF6">
        <w:rPr>
          <w:rFonts w:ascii="Calibri" w:hAnsi="Calibri"/>
        </w:rPr>
        <w:t xml:space="preserve"> </w:t>
      </w:r>
    </w:p>
    <w:p w14:paraId="1B8CC595" w14:textId="77777777" w:rsidR="00AE2DF6" w:rsidRPr="00AE2DF6" w:rsidRDefault="00AE2DF6" w:rsidP="00AE2DF6">
      <w:pPr>
        <w:pStyle w:val="ListParagraph"/>
        <w:rPr>
          <w:rFonts w:ascii="Calibri" w:hAnsi="Calibri"/>
        </w:rPr>
      </w:pPr>
    </w:p>
    <w:p w14:paraId="58C9F77A" w14:textId="47D3F2A7" w:rsidR="000D3204" w:rsidRPr="00AE2DF6" w:rsidRDefault="003112E2" w:rsidP="00AE2DF6">
      <w:pPr>
        <w:pStyle w:val="ListParagraph"/>
        <w:numPr>
          <w:ilvl w:val="0"/>
          <w:numId w:val="36"/>
        </w:numPr>
        <w:spacing w:after="0"/>
        <w:ind w:left="426" w:hanging="426"/>
        <w:rPr>
          <w:rFonts w:ascii="Calibri" w:hAnsi="Calibri"/>
        </w:rPr>
      </w:pPr>
      <w:r w:rsidRPr="00AE2DF6">
        <w:rPr>
          <w:rFonts w:ascii="Calibri" w:hAnsi="Calibri"/>
          <w:b/>
        </w:rPr>
        <w:t>G</w:t>
      </w:r>
      <w:r w:rsidR="009B06BD" w:rsidRPr="00AE2DF6">
        <w:rPr>
          <w:rFonts w:ascii="Calibri" w:hAnsi="Calibri"/>
          <w:b/>
        </w:rPr>
        <w:t>enerating impact from r</w:t>
      </w:r>
      <w:r w:rsidRPr="00AE2DF6">
        <w:rPr>
          <w:rFonts w:ascii="Calibri" w:hAnsi="Calibri"/>
          <w:b/>
        </w:rPr>
        <w:t>esearch:</w:t>
      </w:r>
      <w:r w:rsidRPr="00AE2DF6">
        <w:rPr>
          <w:rFonts w:ascii="Calibri" w:hAnsi="Calibri"/>
        </w:rPr>
        <w:t xml:space="preserve"> </w:t>
      </w:r>
      <w:r w:rsidR="003601A9" w:rsidRPr="00AE2DF6">
        <w:rPr>
          <w:rFonts w:ascii="Calibri" w:hAnsi="Calibri"/>
        </w:rPr>
        <w:t xml:space="preserve">translational activity </w:t>
      </w:r>
      <w:r w:rsidR="009F4616" w:rsidRPr="00AE2DF6">
        <w:rPr>
          <w:rFonts w:ascii="Calibri" w:hAnsi="Calibri"/>
        </w:rPr>
        <w:t>which interprets and uses findings for sustainable social and economic benefits of DAC countries and partners organisations</w:t>
      </w:r>
      <w:r w:rsidR="003601A9" w:rsidRPr="00AE2DF6">
        <w:rPr>
          <w:rFonts w:ascii="Calibri" w:hAnsi="Calibri"/>
        </w:rPr>
        <w:t>, e.g. stakeholder engagement</w:t>
      </w:r>
      <w:r w:rsidRPr="00AE2DF6">
        <w:rPr>
          <w:rFonts w:ascii="Calibri" w:hAnsi="Calibri"/>
        </w:rPr>
        <w:t>, broader dissemination</w:t>
      </w:r>
      <w:r w:rsidR="003601A9" w:rsidRPr="00AE2DF6">
        <w:rPr>
          <w:rFonts w:ascii="Calibri" w:hAnsi="Calibri"/>
        </w:rPr>
        <w:t xml:space="preserve"> etc.</w:t>
      </w:r>
      <w:r w:rsidR="001C6A33" w:rsidRPr="00AE2DF6">
        <w:rPr>
          <w:rFonts w:ascii="Calibri" w:hAnsi="Calibri"/>
        </w:rPr>
        <w:t xml:space="preserve">  </w:t>
      </w:r>
      <w:r w:rsidR="00AE2DF6">
        <w:rPr>
          <w:rFonts w:ascii="Calibri" w:hAnsi="Calibri"/>
        </w:rPr>
        <w:t xml:space="preserve">Funds can cover research assistance, research-based training, dissemination costs, meeting costs, </w:t>
      </w:r>
      <w:r w:rsidR="00CD62D5">
        <w:rPr>
          <w:rFonts w:ascii="Calibri" w:hAnsi="Calibri"/>
        </w:rPr>
        <w:t xml:space="preserve">and </w:t>
      </w:r>
      <w:r w:rsidR="00AE2DF6">
        <w:rPr>
          <w:rFonts w:ascii="Calibri" w:hAnsi="Calibri"/>
        </w:rPr>
        <w:t>travel and subsistence</w:t>
      </w:r>
      <w:r w:rsidR="00CD62D5">
        <w:rPr>
          <w:rFonts w:ascii="Calibri" w:hAnsi="Calibri"/>
        </w:rPr>
        <w:t xml:space="preserve"> for example</w:t>
      </w:r>
      <w:r w:rsidR="00AE2DF6">
        <w:rPr>
          <w:rFonts w:ascii="Calibri" w:hAnsi="Calibri"/>
        </w:rPr>
        <w:t>.</w:t>
      </w:r>
    </w:p>
    <w:p w14:paraId="0312A030" w14:textId="77777777" w:rsidR="00AE2DF6" w:rsidRPr="00AE2DF6" w:rsidRDefault="00AE2DF6" w:rsidP="00AE2DF6">
      <w:pPr>
        <w:pStyle w:val="ListParagraph"/>
        <w:rPr>
          <w:rFonts w:ascii="Calibri" w:hAnsi="Calibri"/>
        </w:rPr>
      </w:pPr>
    </w:p>
    <w:p w14:paraId="4E2B21E7" w14:textId="20DCCA40" w:rsidR="000D3204" w:rsidRPr="00AE2DF6" w:rsidRDefault="004E2C5F" w:rsidP="00AE2DF6">
      <w:pPr>
        <w:pStyle w:val="ListParagraph"/>
        <w:numPr>
          <w:ilvl w:val="0"/>
          <w:numId w:val="36"/>
        </w:numPr>
        <w:spacing w:after="0"/>
        <w:ind w:left="426" w:hanging="426"/>
        <w:rPr>
          <w:rFonts w:ascii="Calibri" w:hAnsi="Calibri"/>
        </w:rPr>
      </w:pPr>
      <w:r w:rsidRPr="00AE2DF6">
        <w:rPr>
          <w:rFonts w:cstheme="minorHAnsi"/>
          <w:b/>
        </w:rPr>
        <w:t>Rapid response to emergencies</w:t>
      </w:r>
      <w:r w:rsidRPr="00AE2DF6">
        <w:rPr>
          <w:rFonts w:cstheme="minorHAnsi"/>
        </w:rPr>
        <w:t xml:space="preserve"> in developing countries with an urgent research need, such as disease outbreaks or natural disasters.  </w:t>
      </w:r>
      <w:r w:rsidR="00AE2DF6">
        <w:rPr>
          <w:rFonts w:cstheme="minorHAnsi"/>
        </w:rPr>
        <w:t xml:space="preserve"> </w:t>
      </w:r>
      <w:r w:rsidR="00AE2DF6">
        <w:rPr>
          <w:rFonts w:ascii="Calibri" w:hAnsi="Calibri"/>
        </w:rPr>
        <w:t xml:space="preserve">Eligible costs </w:t>
      </w:r>
      <w:r w:rsidR="00AE2DF6" w:rsidRPr="00AE2DF6">
        <w:rPr>
          <w:rFonts w:ascii="Calibri" w:hAnsi="Calibri"/>
        </w:rPr>
        <w:t xml:space="preserve">would include </w:t>
      </w:r>
      <w:r w:rsidR="00AE2DF6" w:rsidRPr="00AE2DF6">
        <w:rPr>
          <w:rFonts w:ascii="Calibri" w:hAnsi="Calibri"/>
          <w:b/>
        </w:rPr>
        <w:t>directly incurred costs only</w:t>
      </w:r>
      <w:r w:rsidR="00AE2DF6" w:rsidRPr="00AE2DF6">
        <w:rPr>
          <w:rFonts w:ascii="Calibri" w:hAnsi="Calibri"/>
        </w:rPr>
        <w:t>, such as research &amp; technical assistance, recruitment costs, consumables, travel and subsistence, fieldwork, survey costs, and project specific workshops.</w:t>
      </w:r>
    </w:p>
    <w:p w14:paraId="5F334D58" w14:textId="71ABA112" w:rsidR="000D3204" w:rsidRDefault="000D3204" w:rsidP="00AA1ED0">
      <w:pPr>
        <w:spacing w:after="0"/>
        <w:rPr>
          <w:rFonts w:cstheme="minorHAnsi"/>
          <w:b/>
        </w:rPr>
      </w:pPr>
    </w:p>
    <w:p w14:paraId="580CE799" w14:textId="1E638C73" w:rsidR="00AE2DF6" w:rsidRPr="00AE2DF6" w:rsidRDefault="00AE2DF6" w:rsidP="00AE2DF6">
      <w:pPr>
        <w:spacing w:after="0"/>
        <w:rPr>
          <w:rFonts w:ascii="Calibri" w:hAnsi="Calibri"/>
        </w:rPr>
      </w:pPr>
      <w:r w:rsidRPr="00AE2DF6">
        <w:rPr>
          <w:rFonts w:ascii="Calibri" w:hAnsi="Calibri"/>
        </w:rPr>
        <w:t>PIs must evidence and justify planned costs</w:t>
      </w:r>
      <w:r>
        <w:rPr>
          <w:rFonts w:ascii="Calibri" w:hAnsi="Calibri"/>
        </w:rPr>
        <w:t xml:space="preserve"> for all categories of activity</w:t>
      </w:r>
      <w:r w:rsidRPr="00AE2DF6">
        <w:rPr>
          <w:rFonts w:ascii="Calibri" w:hAnsi="Calibri"/>
        </w:rPr>
        <w:t xml:space="preserve">. </w:t>
      </w:r>
      <w:r w:rsidRPr="00AE2DF6">
        <w:rPr>
          <w:rFonts w:cstheme="minorHAnsi"/>
        </w:rPr>
        <w:t xml:space="preserve"> </w:t>
      </w:r>
    </w:p>
    <w:p w14:paraId="604F2A0C" w14:textId="77777777" w:rsidR="00AE2DF6" w:rsidRDefault="00AE2DF6" w:rsidP="00AA1ED0">
      <w:pPr>
        <w:spacing w:after="0"/>
        <w:rPr>
          <w:rFonts w:cstheme="minorHAnsi"/>
          <w:b/>
        </w:rPr>
      </w:pPr>
    </w:p>
    <w:p w14:paraId="055FD5BB" w14:textId="63F67F12" w:rsidR="000D3204" w:rsidRDefault="00AE2DF6" w:rsidP="00AE2DF6">
      <w:pPr>
        <w:spacing w:after="0"/>
        <w:rPr>
          <w:rFonts w:cstheme="minorHAnsi"/>
          <w:b/>
        </w:rPr>
      </w:pPr>
      <w:r w:rsidRPr="00AE2DF6">
        <w:rPr>
          <w:rFonts w:cstheme="minorHAnsi"/>
        </w:rPr>
        <w:t>The panel is receptive to receiving applications in more experimental or innovative areas of research that break new ground and are therefore necessarily more risky.</w:t>
      </w:r>
    </w:p>
    <w:p w14:paraId="691091FA" w14:textId="42A35685" w:rsidR="000D3204" w:rsidRDefault="000D3204" w:rsidP="00AA1ED0">
      <w:pPr>
        <w:spacing w:after="0"/>
        <w:rPr>
          <w:rFonts w:cstheme="minorHAnsi"/>
          <w:b/>
        </w:rPr>
      </w:pPr>
    </w:p>
    <w:p w14:paraId="5AEFCCA1" w14:textId="77777777" w:rsidR="00CD62D5" w:rsidRPr="00AF0ECB" w:rsidRDefault="00CD62D5" w:rsidP="00CD62D5">
      <w:pPr>
        <w:spacing w:after="0"/>
        <w:rPr>
          <w:rFonts w:ascii="Calibri" w:hAnsi="Calibri"/>
          <w:b/>
        </w:rPr>
      </w:pPr>
      <w:r w:rsidRPr="00AF0ECB">
        <w:rPr>
          <w:rFonts w:ascii="Calibri" w:hAnsi="Calibri"/>
          <w:b/>
        </w:rPr>
        <w:t>Ineligible costs</w:t>
      </w:r>
      <w:r>
        <w:rPr>
          <w:rFonts w:ascii="Calibri" w:hAnsi="Calibri"/>
          <w:b/>
        </w:rPr>
        <w:t>:</w:t>
      </w:r>
    </w:p>
    <w:p w14:paraId="3C8A2491" w14:textId="77777777" w:rsidR="00CD62D5" w:rsidRDefault="00CD62D5" w:rsidP="00CD62D5">
      <w:pPr>
        <w:pStyle w:val="ListParagraph"/>
        <w:numPr>
          <w:ilvl w:val="0"/>
          <w:numId w:val="6"/>
        </w:numPr>
        <w:spacing w:after="0"/>
        <w:ind w:hanging="436"/>
        <w:rPr>
          <w:rFonts w:ascii="Calibri" w:hAnsi="Calibri"/>
        </w:rPr>
      </w:pPr>
      <w:r w:rsidRPr="00AF0ECB">
        <w:rPr>
          <w:rFonts w:ascii="Calibri" w:hAnsi="Calibri"/>
        </w:rPr>
        <w:t xml:space="preserve">Teaching relief </w:t>
      </w:r>
      <w:r>
        <w:rPr>
          <w:rFonts w:ascii="Calibri" w:hAnsi="Calibri"/>
        </w:rPr>
        <w:t>and permanent staff time are not eligible</w:t>
      </w:r>
    </w:p>
    <w:p w14:paraId="1AA9A49F" w14:textId="77777777" w:rsidR="00CD62D5" w:rsidRPr="00313A7F" w:rsidRDefault="00CD62D5" w:rsidP="00CD62D5">
      <w:pPr>
        <w:pStyle w:val="ListParagraph"/>
        <w:numPr>
          <w:ilvl w:val="0"/>
          <w:numId w:val="6"/>
        </w:numPr>
        <w:spacing w:after="0"/>
        <w:ind w:hanging="436"/>
        <w:rPr>
          <w:rFonts w:ascii="Calibri" w:hAnsi="Calibri"/>
        </w:rPr>
      </w:pPr>
      <w:r>
        <w:rPr>
          <w:rFonts w:ascii="Calibri" w:hAnsi="Calibri"/>
        </w:rPr>
        <w:t>Overheads</w:t>
      </w:r>
    </w:p>
    <w:p w14:paraId="791D2859" w14:textId="77777777" w:rsidR="00CD62D5" w:rsidRDefault="00CD62D5" w:rsidP="00CD62D5">
      <w:pPr>
        <w:pStyle w:val="ListParagraph"/>
        <w:numPr>
          <w:ilvl w:val="0"/>
          <w:numId w:val="6"/>
        </w:numPr>
        <w:spacing w:after="0"/>
        <w:ind w:hanging="436"/>
        <w:rPr>
          <w:rFonts w:ascii="Calibri" w:hAnsi="Calibri"/>
        </w:rPr>
      </w:pPr>
      <w:r>
        <w:rPr>
          <w:rFonts w:ascii="Calibri" w:hAnsi="Calibri"/>
        </w:rPr>
        <w:t>C</w:t>
      </w:r>
      <w:r w:rsidRPr="00AF0ECB">
        <w:rPr>
          <w:rFonts w:ascii="Calibri" w:hAnsi="Calibri"/>
        </w:rPr>
        <w:t>osts incurred by collaborators at UK institutions</w:t>
      </w:r>
      <w:r>
        <w:rPr>
          <w:rFonts w:ascii="Calibri" w:hAnsi="Calibri"/>
        </w:rPr>
        <w:t xml:space="preserve"> </w:t>
      </w:r>
    </w:p>
    <w:p w14:paraId="6EA1CE33" w14:textId="77777777" w:rsidR="00CD62D5" w:rsidRPr="00AF0ECB" w:rsidRDefault="00CD62D5" w:rsidP="00CD62D5">
      <w:pPr>
        <w:pStyle w:val="ListParagraph"/>
        <w:numPr>
          <w:ilvl w:val="0"/>
          <w:numId w:val="6"/>
        </w:numPr>
        <w:spacing w:after="0"/>
        <w:ind w:hanging="436"/>
        <w:rPr>
          <w:rFonts w:ascii="Calibri" w:hAnsi="Calibri"/>
        </w:rPr>
      </w:pPr>
      <w:r>
        <w:rPr>
          <w:rFonts w:ascii="Calibri" w:hAnsi="Calibri"/>
        </w:rPr>
        <w:t xml:space="preserve">Conference hosting or attendance </w:t>
      </w:r>
    </w:p>
    <w:p w14:paraId="03512472" w14:textId="50705BB5" w:rsidR="00CD62D5" w:rsidRPr="00FD416F" w:rsidRDefault="00CD62D5" w:rsidP="00AA1ED0">
      <w:pPr>
        <w:spacing w:after="0"/>
        <w:rPr>
          <w:rFonts w:cstheme="minorHAnsi"/>
          <w:b/>
        </w:rPr>
      </w:pPr>
    </w:p>
    <w:p w14:paraId="5DC65AF4" w14:textId="77777777" w:rsidR="00CD62D5" w:rsidRPr="00AF0ECB" w:rsidRDefault="00CD62D5" w:rsidP="00CD62D5">
      <w:pPr>
        <w:spacing w:after="0"/>
        <w:rPr>
          <w:rFonts w:ascii="Calibri" w:hAnsi="Calibri"/>
          <w:b/>
        </w:rPr>
      </w:pPr>
      <w:r w:rsidRPr="00AF0ECB">
        <w:rPr>
          <w:rFonts w:ascii="Calibri" w:hAnsi="Calibri"/>
          <w:b/>
        </w:rPr>
        <w:t>Project duration</w:t>
      </w:r>
      <w:r>
        <w:rPr>
          <w:rFonts w:ascii="Calibri" w:hAnsi="Calibri"/>
          <w:b/>
        </w:rPr>
        <w:t>:</w:t>
      </w:r>
    </w:p>
    <w:p w14:paraId="1D9C2E2A" w14:textId="0BA3CDD7" w:rsidR="00CD62D5" w:rsidRDefault="00CD62D5" w:rsidP="00CD62D5">
      <w:pPr>
        <w:spacing w:after="0"/>
        <w:rPr>
          <w:rFonts w:ascii="Calibri" w:hAnsi="Calibri"/>
        </w:rPr>
      </w:pPr>
      <w:r w:rsidRPr="00AF0ECB">
        <w:rPr>
          <w:rFonts w:ascii="Calibri" w:hAnsi="Calibri"/>
        </w:rPr>
        <w:t>Projects would normally be expected to begin within 2 months of notification and run for a maximum of 12 months.</w:t>
      </w:r>
    </w:p>
    <w:p w14:paraId="261C56A5" w14:textId="77777777" w:rsidR="00CD62D5" w:rsidRDefault="00CD62D5" w:rsidP="00CD62D5">
      <w:pPr>
        <w:spacing w:after="0"/>
        <w:rPr>
          <w:rFonts w:ascii="Calibri" w:hAnsi="Calibri"/>
        </w:rPr>
      </w:pPr>
    </w:p>
    <w:p w14:paraId="62CDFE9A" w14:textId="12F96FF9" w:rsidR="004E2C5F" w:rsidRPr="00FD416F" w:rsidRDefault="004E2C5F" w:rsidP="00AA1ED0">
      <w:pPr>
        <w:spacing w:after="0"/>
        <w:rPr>
          <w:rFonts w:ascii="Calibri" w:hAnsi="Calibri"/>
          <w:b/>
        </w:rPr>
      </w:pPr>
      <w:r w:rsidRPr="00FD416F">
        <w:rPr>
          <w:rFonts w:ascii="Calibri" w:hAnsi="Calibri"/>
          <w:b/>
        </w:rPr>
        <w:t>Priority countries</w:t>
      </w:r>
      <w:r w:rsidR="00F06C12" w:rsidRPr="00FD416F">
        <w:rPr>
          <w:rFonts w:ascii="Calibri" w:hAnsi="Calibri"/>
          <w:b/>
        </w:rPr>
        <w:t>:</w:t>
      </w:r>
    </w:p>
    <w:p w14:paraId="5661FA50" w14:textId="53AE59E8" w:rsidR="00CA2282" w:rsidRDefault="00CD62D5" w:rsidP="009B06BD">
      <w:pPr>
        <w:spacing w:after="0"/>
        <w:rPr>
          <w:rFonts w:ascii="Calibri" w:hAnsi="Calibri"/>
        </w:rPr>
      </w:pPr>
      <w:r w:rsidRPr="00CD62D5">
        <w:rPr>
          <w:rFonts w:ascii="Calibri" w:hAnsi="Calibri"/>
        </w:rPr>
        <w:t>The University’s GCRF strategy identified our intention to encourage engagement with a particular set of countries, therefore research which delivers benefits to the following countries</w:t>
      </w:r>
      <w:r>
        <w:rPr>
          <w:rFonts w:ascii="Calibri" w:hAnsi="Calibri"/>
        </w:rPr>
        <w:t xml:space="preserve"> are particularly welcome: </w:t>
      </w:r>
      <w:r w:rsidR="00090CD2" w:rsidRPr="00090CD2">
        <w:rPr>
          <w:rFonts w:ascii="Calibri" w:hAnsi="Calibri"/>
        </w:rPr>
        <w:t xml:space="preserve">Afghanistan, </w:t>
      </w:r>
      <w:r w:rsidR="00EC0705">
        <w:rPr>
          <w:rFonts w:ascii="Calibri" w:hAnsi="Calibri"/>
        </w:rPr>
        <w:t xml:space="preserve"> </w:t>
      </w:r>
      <w:r w:rsidR="00CA2282">
        <w:rPr>
          <w:rFonts w:ascii="Calibri" w:hAnsi="Calibri"/>
        </w:rPr>
        <w:t xml:space="preserve">Bolivia, Chile, </w:t>
      </w:r>
      <w:r w:rsidR="0074481A">
        <w:rPr>
          <w:rFonts w:ascii="Calibri" w:hAnsi="Calibri"/>
        </w:rPr>
        <w:t xml:space="preserve">China, </w:t>
      </w:r>
      <w:r w:rsidR="00CA2282">
        <w:rPr>
          <w:rFonts w:ascii="Calibri" w:hAnsi="Calibri"/>
        </w:rPr>
        <w:t xml:space="preserve">Columbia, </w:t>
      </w:r>
      <w:r w:rsidR="00EC0705">
        <w:rPr>
          <w:rFonts w:ascii="Calibri" w:hAnsi="Calibri"/>
        </w:rPr>
        <w:t xml:space="preserve">Ethiopia, </w:t>
      </w:r>
      <w:r w:rsidR="0074481A">
        <w:rPr>
          <w:rFonts w:ascii="Calibri" w:hAnsi="Calibri"/>
        </w:rPr>
        <w:t xml:space="preserve">Ghana, India, </w:t>
      </w:r>
      <w:r w:rsidR="00EC0705">
        <w:rPr>
          <w:rFonts w:ascii="Calibri" w:hAnsi="Calibri"/>
        </w:rPr>
        <w:t xml:space="preserve">Kenya, </w:t>
      </w:r>
      <w:r w:rsidR="0074481A">
        <w:rPr>
          <w:rFonts w:ascii="Calibri" w:hAnsi="Calibri"/>
        </w:rPr>
        <w:t xml:space="preserve">Myanmar, </w:t>
      </w:r>
      <w:r w:rsidR="00EC0705">
        <w:rPr>
          <w:rFonts w:ascii="Calibri" w:hAnsi="Calibri"/>
        </w:rPr>
        <w:t xml:space="preserve">Mozambique,  </w:t>
      </w:r>
      <w:r w:rsidR="0074481A">
        <w:rPr>
          <w:rFonts w:ascii="Calibri" w:hAnsi="Calibri"/>
        </w:rPr>
        <w:t xml:space="preserve">Nigeria, </w:t>
      </w:r>
      <w:r w:rsidR="00CA2282">
        <w:rPr>
          <w:rFonts w:ascii="Calibri" w:hAnsi="Calibri"/>
        </w:rPr>
        <w:t xml:space="preserve">Peru, </w:t>
      </w:r>
      <w:r w:rsidR="00090CD2" w:rsidRPr="00090CD2">
        <w:rPr>
          <w:rFonts w:ascii="Calibri" w:hAnsi="Calibri"/>
        </w:rPr>
        <w:t>Senegal, Suda</w:t>
      </w:r>
      <w:r w:rsidR="00EC0705">
        <w:rPr>
          <w:rFonts w:ascii="Calibri" w:hAnsi="Calibri"/>
        </w:rPr>
        <w:t>n, Somalia, Tanzania</w:t>
      </w:r>
      <w:r w:rsidR="00CA2282">
        <w:rPr>
          <w:rFonts w:ascii="Calibri" w:hAnsi="Calibri"/>
        </w:rPr>
        <w:t>, Thailand</w:t>
      </w:r>
      <w:r w:rsidR="00EC0705">
        <w:rPr>
          <w:rFonts w:ascii="Calibri" w:hAnsi="Calibri"/>
        </w:rPr>
        <w:t xml:space="preserve"> and Uganda</w:t>
      </w:r>
      <w:r w:rsidR="00090CD2" w:rsidRPr="00090CD2">
        <w:rPr>
          <w:rFonts w:ascii="Calibri" w:hAnsi="Calibri"/>
        </w:rPr>
        <w:t xml:space="preserve">.  </w:t>
      </w:r>
    </w:p>
    <w:p w14:paraId="0A42EDD3" w14:textId="77777777" w:rsidR="009B06BD" w:rsidRDefault="009B06BD" w:rsidP="00090CD2">
      <w:pPr>
        <w:spacing w:after="0"/>
        <w:rPr>
          <w:rFonts w:ascii="Calibri" w:hAnsi="Calibri"/>
        </w:rPr>
      </w:pPr>
    </w:p>
    <w:p w14:paraId="611D81BE" w14:textId="3634280E" w:rsidR="00090CD2" w:rsidRDefault="00090CD2" w:rsidP="00090CD2">
      <w:pPr>
        <w:spacing w:after="0"/>
        <w:rPr>
          <w:rFonts w:ascii="Calibri" w:hAnsi="Calibri"/>
        </w:rPr>
      </w:pPr>
      <w:r w:rsidRPr="00090CD2">
        <w:rPr>
          <w:rFonts w:ascii="Calibri" w:hAnsi="Calibri"/>
        </w:rPr>
        <w:t xml:space="preserve">Research </w:t>
      </w:r>
      <w:r w:rsidR="00CA2282">
        <w:rPr>
          <w:rFonts w:ascii="Calibri" w:hAnsi="Calibri"/>
        </w:rPr>
        <w:t xml:space="preserve">focussing on other </w:t>
      </w:r>
      <w:hyperlink r:id="rId13" w:history="1">
        <w:r w:rsidRPr="00CA2282">
          <w:rPr>
            <w:rStyle w:val="Hyperlink"/>
            <w:rFonts w:ascii="Calibri" w:hAnsi="Calibri"/>
          </w:rPr>
          <w:t>DAC countr</w:t>
        </w:r>
        <w:r w:rsidR="00707294" w:rsidRPr="00CA2282">
          <w:rPr>
            <w:rStyle w:val="Hyperlink"/>
            <w:rFonts w:ascii="Calibri" w:hAnsi="Calibri"/>
          </w:rPr>
          <w:t>ies</w:t>
        </w:r>
      </w:hyperlink>
      <w:r w:rsidR="00707294">
        <w:rPr>
          <w:rFonts w:ascii="Calibri" w:hAnsi="Calibri"/>
        </w:rPr>
        <w:t xml:space="preserve"> </w:t>
      </w:r>
      <w:r w:rsidR="0084208A">
        <w:rPr>
          <w:rFonts w:ascii="Calibri" w:hAnsi="Calibri"/>
        </w:rPr>
        <w:t>is</w:t>
      </w:r>
      <w:r w:rsidR="00707294">
        <w:rPr>
          <w:rFonts w:ascii="Calibri" w:hAnsi="Calibri"/>
        </w:rPr>
        <w:t xml:space="preserve"> also welcome</w:t>
      </w:r>
      <w:r w:rsidRPr="00090CD2">
        <w:rPr>
          <w:rFonts w:ascii="Calibri" w:hAnsi="Calibri"/>
        </w:rPr>
        <w:t>, particularly if there is a path to translate the benefits to lowe</w:t>
      </w:r>
      <w:r w:rsidR="008C2F06">
        <w:rPr>
          <w:rFonts w:ascii="Calibri" w:hAnsi="Calibri"/>
        </w:rPr>
        <w:t xml:space="preserve">r income countries.  </w:t>
      </w:r>
    </w:p>
    <w:p w14:paraId="09F18113" w14:textId="27C4A79A" w:rsidR="00DE390F" w:rsidRDefault="00DE390F" w:rsidP="00090CD2">
      <w:pPr>
        <w:spacing w:after="0"/>
        <w:rPr>
          <w:rFonts w:ascii="Calibri" w:hAnsi="Calibri"/>
        </w:rPr>
      </w:pPr>
    </w:p>
    <w:p w14:paraId="3E5E86CD" w14:textId="0603A1F6" w:rsidR="00DE390F" w:rsidRDefault="007525EA" w:rsidP="00090CD2">
      <w:pPr>
        <w:spacing w:after="0"/>
        <w:rPr>
          <w:rFonts w:ascii="Calibri" w:hAnsi="Calibri"/>
        </w:rPr>
      </w:pPr>
      <w:r>
        <w:rPr>
          <w:rFonts w:ascii="Calibri" w:hAnsi="Calibri"/>
        </w:rPr>
        <w:t xml:space="preserve">As noted, a </w:t>
      </w:r>
      <w:r w:rsidR="00DE390F">
        <w:rPr>
          <w:rFonts w:ascii="Calibri" w:hAnsi="Calibri"/>
        </w:rPr>
        <w:t xml:space="preserve">limited amount of support is available for UK-based projects with high potential to generate transferable </w:t>
      </w:r>
      <w:r>
        <w:rPr>
          <w:rFonts w:ascii="Calibri" w:hAnsi="Calibri"/>
        </w:rPr>
        <w:t>knowledge</w:t>
      </w:r>
      <w:r w:rsidR="00DE390F">
        <w:rPr>
          <w:rFonts w:ascii="Calibri" w:hAnsi="Calibri"/>
        </w:rPr>
        <w:t xml:space="preserve"> for </w:t>
      </w:r>
      <w:r>
        <w:rPr>
          <w:rFonts w:ascii="Calibri" w:hAnsi="Calibri"/>
        </w:rPr>
        <w:t>ODA/</w:t>
      </w:r>
      <w:r w:rsidR="00DE390F">
        <w:rPr>
          <w:rFonts w:ascii="Calibri" w:hAnsi="Calibri"/>
        </w:rPr>
        <w:t xml:space="preserve">DAC countries. </w:t>
      </w:r>
    </w:p>
    <w:p w14:paraId="290FCB43" w14:textId="0D639734" w:rsidR="000411D2" w:rsidRDefault="000411D2" w:rsidP="00AA1ED0">
      <w:pPr>
        <w:spacing w:after="0"/>
        <w:rPr>
          <w:rFonts w:ascii="Calibri" w:hAnsi="Calibri"/>
          <w:b/>
        </w:rPr>
      </w:pPr>
    </w:p>
    <w:p w14:paraId="765A2B46" w14:textId="722F3588" w:rsidR="00AA1ED0" w:rsidRPr="00AF0ECB" w:rsidRDefault="004E2C5F" w:rsidP="00AA1ED0">
      <w:pPr>
        <w:spacing w:after="0"/>
        <w:rPr>
          <w:rFonts w:ascii="Calibri" w:hAnsi="Calibri"/>
          <w:b/>
        </w:rPr>
      </w:pPr>
      <w:r w:rsidRPr="00AF0ECB">
        <w:rPr>
          <w:rFonts w:ascii="Calibri" w:hAnsi="Calibri"/>
          <w:b/>
        </w:rPr>
        <w:t>Applicant e</w:t>
      </w:r>
      <w:r w:rsidR="00AA1ED0" w:rsidRPr="00AF0ECB">
        <w:rPr>
          <w:rFonts w:ascii="Calibri" w:hAnsi="Calibri"/>
          <w:b/>
        </w:rPr>
        <w:t>ligibility</w:t>
      </w:r>
      <w:r w:rsidR="00F06C12">
        <w:rPr>
          <w:rFonts w:ascii="Calibri" w:hAnsi="Calibri"/>
          <w:b/>
        </w:rPr>
        <w:t>:</w:t>
      </w:r>
    </w:p>
    <w:p w14:paraId="49A9A386" w14:textId="1E53406F" w:rsidR="00196338" w:rsidRDefault="00545670" w:rsidP="0038100A">
      <w:pPr>
        <w:pStyle w:val="ListParagraph"/>
        <w:numPr>
          <w:ilvl w:val="0"/>
          <w:numId w:val="5"/>
        </w:numPr>
        <w:spacing w:after="0"/>
        <w:ind w:hanging="436"/>
        <w:rPr>
          <w:rFonts w:ascii="Calibri" w:hAnsi="Calibri"/>
        </w:rPr>
      </w:pPr>
      <w:r>
        <w:rPr>
          <w:rFonts w:ascii="Calibri" w:hAnsi="Calibri"/>
        </w:rPr>
        <w:t>Applications are welcome from academics and research staff from a</w:t>
      </w:r>
      <w:r w:rsidR="00402D3B" w:rsidRPr="00AF0ECB">
        <w:rPr>
          <w:rFonts w:ascii="Calibri" w:hAnsi="Calibri"/>
        </w:rPr>
        <w:t>ll discip</w:t>
      </w:r>
      <w:r w:rsidR="004574AC">
        <w:rPr>
          <w:rFonts w:ascii="Calibri" w:hAnsi="Calibri"/>
        </w:rPr>
        <w:t>lines</w:t>
      </w:r>
      <w:r w:rsidR="00196338">
        <w:rPr>
          <w:rFonts w:ascii="Calibri" w:hAnsi="Calibri"/>
        </w:rPr>
        <w:t>.  We would like to see increased engagement with colleagues from Arts and Humanities, Engineering, Health Sciences, Maths and Physical Sciences</w:t>
      </w:r>
      <w:r w:rsidR="00347F83">
        <w:rPr>
          <w:rFonts w:ascii="Calibri" w:hAnsi="Calibri"/>
        </w:rPr>
        <w:t>, and Life Sciences</w:t>
      </w:r>
      <w:r w:rsidR="00196338">
        <w:rPr>
          <w:rFonts w:ascii="Calibri" w:hAnsi="Calibri"/>
        </w:rPr>
        <w:t>.</w:t>
      </w:r>
    </w:p>
    <w:p w14:paraId="7C3B2193" w14:textId="2845F167" w:rsidR="00402D3B" w:rsidRDefault="00196338" w:rsidP="0038100A">
      <w:pPr>
        <w:pStyle w:val="ListParagraph"/>
        <w:numPr>
          <w:ilvl w:val="0"/>
          <w:numId w:val="5"/>
        </w:numPr>
        <w:spacing w:after="0"/>
        <w:ind w:hanging="436"/>
        <w:rPr>
          <w:rFonts w:ascii="Calibri" w:hAnsi="Calibri"/>
        </w:rPr>
      </w:pPr>
      <w:r>
        <w:rPr>
          <w:rFonts w:ascii="Calibri" w:hAnsi="Calibri"/>
        </w:rPr>
        <w:t>C</w:t>
      </w:r>
      <w:r w:rsidR="00076004">
        <w:rPr>
          <w:rFonts w:ascii="Calibri" w:hAnsi="Calibri"/>
        </w:rPr>
        <w:t>ross-School collaboration</w:t>
      </w:r>
      <w:r>
        <w:rPr>
          <w:rFonts w:ascii="Calibri" w:hAnsi="Calibri"/>
        </w:rPr>
        <w:t xml:space="preserve"> is strongly encouraged</w:t>
      </w:r>
      <w:r w:rsidR="00076004">
        <w:rPr>
          <w:rFonts w:ascii="Calibri" w:hAnsi="Calibri"/>
        </w:rPr>
        <w:t xml:space="preserve">. </w:t>
      </w:r>
    </w:p>
    <w:p w14:paraId="0383FC11" w14:textId="4857A96B" w:rsidR="00402D3B" w:rsidRDefault="00402D3B" w:rsidP="0038100A">
      <w:pPr>
        <w:pStyle w:val="ListParagraph"/>
        <w:numPr>
          <w:ilvl w:val="0"/>
          <w:numId w:val="5"/>
        </w:numPr>
        <w:spacing w:after="0"/>
        <w:ind w:hanging="436"/>
        <w:rPr>
          <w:rFonts w:ascii="Calibri" w:hAnsi="Calibri"/>
        </w:rPr>
      </w:pPr>
      <w:r w:rsidRPr="00AF0ECB">
        <w:rPr>
          <w:rFonts w:ascii="Calibri" w:hAnsi="Calibri"/>
        </w:rPr>
        <w:t>Members of faculty on fixed-term contracts may apply if the</w:t>
      </w:r>
      <w:r w:rsidR="00545670">
        <w:rPr>
          <w:rFonts w:ascii="Calibri" w:hAnsi="Calibri"/>
        </w:rPr>
        <w:t>ir existing employment contracts extends beyond the proposed</w:t>
      </w:r>
      <w:r w:rsidRPr="00AF0ECB">
        <w:rPr>
          <w:rFonts w:ascii="Calibri" w:hAnsi="Calibri"/>
        </w:rPr>
        <w:t xml:space="preserve"> project</w:t>
      </w:r>
      <w:r w:rsidR="00545670">
        <w:rPr>
          <w:rFonts w:ascii="Calibri" w:hAnsi="Calibri"/>
        </w:rPr>
        <w:t>.</w:t>
      </w:r>
    </w:p>
    <w:p w14:paraId="660B4E14" w14:textId="7DFB6BA2" w:rsidR="008018A8" w:rsidRPr="00AF0ECB" w:rsidRDefault="00DF22FB" w:rsidP="0038100A">
      <w:pPr>
        <w:pStyle w:val="ListParagraph"/>
        <w:numPr>
          <w:ilvl w:val="0"/>
          <w:numId w:val="5"/>
        </w:numPr>
        <w:spacing w:after="0"/>
        <w:ind w:hanging="436"/>
        <w:rPr>
          <w:rFonts w:ascii="Calibri" w:hAnsi="Calibri"/>
        </w:rPr>
      </w:pPr>
      <w:r>
        <w:rPr>
          <w:rFonts w:ascii="Calibri" w:hAnsi="Calibri"/>
        </w:rPr>
        <w:t>IDS researchers can apply in collaboration with Sussex faculty, one of whom must be from an SSRP Core School (e.g</w:t>
      </w:r>
      <w:r w:rsidR="00111F89">
        <w:rPr>
          <w:rFonts w:ascii="Calibri" w:hAnsi="Calibri"/>
        </w:rPr>
        <w:t xml:space="preserve">. </w:t>
      </w:r>
      <w:r w:rsidR="00527596">
        <w:rPr>
          <w:rFonts w:ascii="Calibri" w:hAnsi="Calibri"/>
        </w:rPr>
        <w:t>Global</w:t>
      </w:r>
      <w:r w:rsidR="00111F89">
        <w:rPr>
          <w:rFonts w:ascii="Calibri" w:hAnsi="Calibri"/>
        </w:rPr>
        <w:t>, Life Sciences, LPS or</w:t>
      </w:r>
      <w:r>
        <w:rPr>
          <w:rFonts w:ascii="Calibri" w:hAnsi="Calibri"/>
        </w:rPr>
        <w:t xml:space="preserve"> USBS).  </w:t>
      </w:r>
    </w:p>
    <w:p w14:paraId="7969CECC" w14:textId="77777777" w:rsidR="00402D3B" w:rsidRPr="00AF0ECB" w:rsidRDefault="00402D3B" w:rsidP="0038100A">
      <w:pPr>
        <w:pStyle w:val="ListParagraph"/>
        <w:numPr>
          <w:ilvl w:val="0"/>
          <w:numId w:val="5"/>
        </w:numPr>
        <w:spacing w:after="0"/>
        <w:ind w:hanging="436"/>
        <w:rPr>
          <w:rFonts w:ascii="Calibri" w:hAnsi="Calibri"/>
        </w:rPr>
      </w:pPr>
      <w:r w:rsidRPr="00AF0ECB">
        <w:rPr>
          <w:rFonts w:ascii="Calibri" w:hAnsi="Calibri"/>
        </w:rPr>
        <w:t>Staff on teaching-only contracts and research students are not eligible to apply.</w:t>
      </w:r>
    </w:p>
    <w:p w14:paraId="6B2F51E8" w14:textId="7BBAD16E" w:rsidR="00402D3B" w:rsidRPr="00AF0ECB" w:rsidRDefault="00402D3B" w:rsidP="00402D3B">
      <w:pPr>
        <w:pStyle w:val="ListParagraph"/>
        <w:numPr>
          <w:ilvl w:val="0"/>
          <w:numId w:val="5"/>
        </w:numPr>
        <w:spacing w:after="0"/>
        <w:rPr>
          <w:rFonts w:ascii="Calibri" w:hAnsi="Calibri"/>
        </w:rPr>
      </w:pPr>
      <w:r w:rsidRPr="00AF0ECB">
        <w:rPr>
          <w:rFonts w:ascii="Calibri" w:hAnsi="Calibri"/>
        </w:rPr>
        <w:t xml:space="preserve">In accordance with the University’s Athena Swan objective of addressing gender equality, </w:t>
      </w:r>
      <w:r w:rsidR="000E54FC">
        <w:rPr>
          <w:rFonts w:ascii="Calibri" w:hAnsi="Calibri"/>
        </w:rPr>
        <w:t>applications are welcome from those r</w:t>
      </w:r>
      <w:r w:rsidRPr="00AF0ECB">
        <w:rPr>
          <w:rFonts w:ascii="Calibri" w:hAnsi="Calibri"/>
        </w:rPr>
        <w:t>eturning from parental leave.</w:t>
      </w:r>
    </w:p>
    <w:p w14:paraId="11661D68" w14:textId="77777777" w:rsidR="00AA1ED0" w:rsidRPr="00AF0ECB" w:rsidRDefault="00AA1ED0" w:rsidP="00AA1ED0">
      <w:pPr>
        <w:spacing w:after="0"/>
        <w:rPr>
          <w:rFonts w:ascii="Calibri" w:hAnsi="Calibri"/>
          <w:b/>
        </w:rPr>
      </w:pPr>
    </w:p>
    <w:p w14:paraId="1582D675" w14:textId="1825A310" w:rsidR="00AA1ED0" w:rsidRPr="00AF0ECB" w:rsidRDefault="00AA1ED0" w:rsidP="00AA1ED0">
      <w:pPr>
        <w:spacing w:after="0"/>
        <w:rPr>
          <w:rFonts w:ascii="Calibri" w:hAnsi="Calibri"/>
          <w:b/>
        </w:rPr>
      </w:pPr>
      <w:r w:rsidRPr="00AF0ECB">
        <w:rPr>
          <w:rFonts w:ascii="Calibri" w:hAnsi="Calibri"/>
          <w:b/>
        </w:rPr>
        <w:t>Application process</w:t>
      </w:r>
      <w:r w:rsidR="00F06C12">
        <w:rPr>
          <w:rFonts w:ascii="Calibri" w:hAnsi="Calibri"/>
          <w:b/>
        </w:rPr>
        <w:t>:</w:t>
      </w:r>
    </w:p>
    <w:p w14:paraId="754BA63F" w14:textId="6554ABCE" w:rsidR="00AA1ED0" w:rsidRPr="00AF0ECB" w:rsidRDefault="00D25A2D" w:rsidP="00AA1ED0">
      <w:pPr>
        <w:spacing w:after="0"/>
        <w:rPr>
          <w:rFonts w:ascii="Calibri" w:hAnsi="Calibri"/>
        </w:rPr>
      </w:pPr>
      <w:r>
        <w:rPr>
          <w:rFonts w:ascii="Calibri" w:hAnsi="Calibri"/>
        </w:rPr>
        <w:t>Applications include a s</w:t>
      </w:r>
      <w:r w:rsidR="00082C94" w:rsidRPr="00D25A2D">
        <w:rPr>
          <w:rFonts w:ascii="Calibri" w:hAnsi="Calibri"/>
        </w:rPr>
        <w:t xml:space="preserve">tatement </w:t>
      </w:r>
      <w:r>
        <w:rPr>
          <w:rFonts w:ascii="Calibri" w:hAnsi="Calibri"/>
        </w:rPr>
        <w:t xml:space="preserve">of support from the PI’s </w:t>
      </w:r>
      <w:r w:rsidR="007A6507">
        <w:rPr>
          <w:rFonts w:ascii="Calibri" w:hAnsi="Calibri"/>
        </w:rPr>
        <w:t xml:space="preserve">School </w:t>
      </w:r>
      <w:r w:rsidR="00082C94" w:rsidRPr="00D25A2D">
        <w:rPr>
          <w:rFonts w:ascii="Calibri" w:hAnsi="Calibri"/>
        </w:rPr>
        <w:t>Director of Research &amp; Knowledge Exchange</w:t>
      </w:r>
      <w:r>
        <w:rPr>
          <w:rFonts w:ascii="Calibri" w:hAnsi="Calibri"/>
        </w:rPr>
        <w:t>.  Completed a</w:t>
      </w:r>
      <w:r w:rsidR="00AA1ED0" w:rsidRPr="00AF0ECB">
        <w:rPr>
          <w:rFonts w:ascii="Calibri" w:hAnsi="Calibri"/>
        </w:rPr>
        <w:t>pplications</w:t>
      </w:r>
      <w:r>
        <w:rPr>
          <w:rFonts w:ascii="Calibri" w:hAnsi="Calibri"/>
        </w:rPr>
        <w:t>, including the</w:t>
      </w:r>
      <w:r w:rsidR="007A6507">
        <w:rPr>
          <w:rFonts w:ascii="Calibri" w:hAnsi="Calibri"/>
        </w:rPr>
        <w:t xml:space="preserve"> School</w:t>
      </w:r>
      <w:r>
        <w:rPr>
          <w:rFonts w:ascii="Calibri" w:hAnsi="Calibri"/>
        </w:rPr>
        <w:t xml:space="preserve"> DRKE statement,</w:t>
      </w:r>
      <w:r w:rsidR="00AA1ED0" w:rsidRPr="00AF0ECB">
        <w:rPr>
          <w:rFonts w:ascii="Calibri" w:hAnsi="Calibri"/>
        </w:rPr>
        <w:t xml:space="preserve"> should be emailed to </w:t>
      </w:r>
      <w:hyperlink r:id="rId14" w:history="1">
        <w:r w:rsidR="00AA1ED0" w:rsidRPr="00AF0ECB">
          <w:rPr>
            <w:rStyle w:val="Hyperlink"/>
            <w:rFonts w:ascii="Calibri" w:hAnsi="Calibri"/>
          </w:rPr>
          <w:t>research.initiatives@sussex.ac.uk</w:t>
        </w:r>
      </w:hyperlink>
      <w:r w:rsidR="009F4167">
        <w:rPr>
          <w:rFonts w:ascii="Calibri" w:hAnsi="Calibri"/>
        </w:rPr>
        <w:t xml:space="preserve"> by </w:t>
      </w:r>
      <w:r>
        <w:rPr>
          <w:rFonts w:ascii="Calibri" w:hAnsi="Calibri"/>
          <w:b/>
          <w:color w:val="FF0000"/>
        </w:rPr>
        <w:t xml:space="preserve">12.00 noon on </w:t>
      </w:r>
      <w:r w:rsidR="007E2BD1">
        <w:rPr>
          <w:rFonts w:ascii="Calibri" w:hAnsi="Calibri"/>
          <w:b/>
          <w:color w:val="FF0000"/>
        </w:rPr>
        <w:t>Monday 20</w:t>
      </w:r>
      <w:r w:rsidR="007E2BD1" w:rsidRPr="007E2BD1">
        <w:rPr>
          <w:rFonts w:ascii="Calibri" w:hAnsi="Calibri"/>
          <w:b/>
          <w:color w:val="FF0000"/>
          <w:vertAlign w:val="superscript"/>
        </w:rPr>
        <w:t>th</w:t>
      </w:r>
      <w:r w:rsidR="007E2BD1">
        <w:rPr>
          <w:rFonts w:ascii="Calibri" w:hAnsi="Calibri"/>
          <w:b/>
          <w:color w:val="FF0000"/>
        </w:rPr>
        <w:t xml:space="preserve"> January 2020</w:t>
      </w:r>
      <w:r w:rsidR="00AA1ED0" w:rsidRPr="009F4167">
        <w:rPr>
          <w:rFonts w:ascii="Calibri" w:hAnsi="Calibri"/>
          <w:b/>
          <w:color w:val="FF0000"/>
        </w:rPr>
        <w:t>.</w:t>
      </w:r>
    </w:p>
    <w:p w14:paraId="7235C6A7" w14:textId="77777777" w:rsidR="00AA1ED0" w:rsidRPr="00AF0ECB" w:rsidRDefault="00AA1ED0" w:rsidP="00AA1ED0">
      <w:pPr>
        <w:spacing w:after="0"/>
        <w:rPr>
          <w:rFonts w:ascii="Calibri" w:hAnsi="Calibri"/>
          <w:b/>
        </w:rPr>
      </w:pPr>
    </w:p>
    <w:p w14:paraId="1412F9F8" w14:textId="0FEA1CC9" w:rsidR="00AA1ED0" w:rsidRPr="00AF0ECB" w:rsidRDefault="002E5EFC" w:rsidP="00AA1ED0">
      <w:pPr>
        <w:spacing w:after="0"/>
        <w:rPr>
          <w:rFonts w:ascii="Calibri" w:hAnsi="Calibri"/>
          <w:b/>
        </w:rPr>
      </w:pPr>
      <w:r>
        <w:rPr>
          <w:rFonts w:ascii="Calibri" w:hAnsi="Calibri"/>
          <w:b/>
        </w:rPr>
        <w:t>Review criteria:</w:t>
      </w:r>
    </w:p>
    <w:p w14:paraId="370C57F7" w14:textId="5D95CAAF" w:rsidR="00AA1ED0" w:rsidRPr="00AF0ECB" w:rsidRDefault="00AA1ED0" w:rsidP="00AA1ED0">
      <w:pPr>
        <w:spacing w:after="0"/>
        <w:rPr>
          <w:rFonts w:ascii="Calibri" w:hAnsi="Calibri"/>
        </w:rPr>
      </w:pPr>
      <w:r w:rsidRPr="00AF0ECB">
        <w:rPr>
          <w:rFonts w:ascii="Calibri" w:hAnsi="Calibri"/>
        </w:rPr>
        <w:t xml:space="preserve">Applications will be reviewed by a cross-School panel and </w:t>
      </w:r>
      <w:r w:rsidR="00D25A2D">
        <w:rPr>
          <w:rFonts w:ascii="Calibri" w:hAnsi="Calibri"/>
        </w:rPr>
        <w:t xml:space="preserve">will </w:t>
      </w:r>
      <w:r w:rsidRPr="00AF0ECB">
        <w:rPr>
          <w:rFonts w:ascii="Calibri" w:hAnsi="Calibri"/>
        </w:rPr>
        <w:t>address the following criteria:</w:t>
      </w:r>
    </w:p>
    <w:p w14:paraId="47DEF970" w14:textId="285BC722" w:rsidR="00290DCB" w:rsidRPr="002E5EFC" w:rsidRDefault="00290DCB" w:rsidP="002E5EFC">
      <w:pPr>
        <w:pStyle w:val="ListParagraph"/>
        <w:numPr>
          <w:ilvl w:val="0"/>
          <w:numId w:val="2"/>
        </w:numPr>
        <w:spacing w:after="0"/>
        <w:rPr>
          <w:rFonts w:ascii="Calibri" w:hAnsi="Calibri"/>
          <w:u w:val="single"/>
        </w:rPr>
      </w:pPr>
      <w:r w:rsidRPr="002E5EFC">
        <w:rPr>
          <w:rFonts w:ascii="Calibri" w:hAnsi="Calibri"/>
          <w:u w:val="single"/>
        </w:rPr>
        <w:t>Research Excellence:</w:t>
      </w:r>
      <w:r w:rsidRPr="002E5EFC">
        <w:rPr>
          <w:rFonts w:ascii="Calibri" w:hAnsi="Calibri"/>
        </w:rPr>
        <w:t xml:space="preserve"> activity should be underpinned by excellent research.</w:t>
      </w:r>
    </w:p>
    <w:p w14:paraId="4C2B3900" w14:textId="082D2C17" w:rsidR="00290DCB" w:rsidRDefault="00A93884" w:rsidP="00290DCB">
      <w:pPr>
        <w:pStyle w:val="ListParagraph"/>
        <w:numPr>
          <w:ilvl w:val="0"/>
          <w:numId w:val="2"/>
        </w:numPr>
        <w:spacing w:after="0"/>
        <w:rPr>
          <w:rFonts w:ascii="Calibri" w:hAnsi="Calibri"/>
        </w:rPr>
      </w:pPr>
      <w:r>
        <w:rPr>
          <w:rFonts w:ascii="Calibri" w:hAnsi="Calibri"/>
          <w:u w:val="single"/>
        </w:rPr>
        <w:lastRenderedPageBreak/>
        <w:t xml:space="preserve">Problem and solution focussed: </w:t>
      </w:r>
      <w:r w:rsidR="00C95D36">
        <w:rPr>
          <w:rFonts w:ascii="Calibri" w:hAnsi="Calibri"/>
        </w:rPr>
        <w:t xml:space="preserve"> </w:t>
      </w:r>
      <w:r w:rsidR="00C95D36">
        <w:t>a</w:t>
      </w:r>
      <w:r w:rsidR="00290DCB" w:rsidRPr="00290DCB">
        <w:t xml:space="preserve">pplications will be assessed </w:t>
      </w:r>
      <w:r w:rsidR="00290DCB">
        <w:t>on how</w:t>
      </w:r>
      <w:r w:rsidR="00290DCB" w:rsidRPr="00290DCB">
        <w:t xml:space="preserve"> the proposed project directly relates to addressing the challenges of economic development and welfare faced by developing countries on the </w:t>
      </w:r>
      <w:hyperlink r:id="rId15" w:history="1">
        <w:r w:rsidR="00290DCB" w:rsidRPr="00082C94">
          <w:rPr>
            <w:rStyle w:val="Hyperlink"/>
          </w:rPr>
          <w:t>DAC list</w:t>
        </w:r>
      </w:hyperlink>
      <w:r w:rsidR="00290DCB" w:rsidRPr="00290DCB">
        <w:t>, and whether the scope of work is likely to result in tangible solutions.</w:t>
      </w:r>
    </w:p>
    <w:p w14:paraId="2CBB3CB8" w14:textId="0AB79E81" w:rsidR="00290DCB" w:rsidRPr="00A93884" w:rsidRDefault="00290DCB" w:rsidP="00623896">
      <w:pPr>
        <w:pStyle w:val="ListParagraph"/>
        <w:numPr>
          <w:ilvl w:val="0"/>
          <w:numId w:val="2"/>
        </w:numPr>
        <w:spacing w:after="0"/>
        <w:rPr>
          <w:rFonts w:ascii="Calibri" w:hAnsi="Calibri"/>
          <w:u w:val="single"/>
        </w:rPr>
      </w:pPr>
      <w:r>
        <w:rPr>
          <w:rFonts w:ascii="Calibri" w:hAnsi="Calibri"/>
          <w:u w:val="single"/>
        </w:rPr>
        <w:t xml:space="preserve">Impact: </w:t>
      </w:r>
      <w:r>
        <w:rPr>
          <w:rFonts w:ascii="Calibri" w:hAnsi="Calibri"/>
        </w:rPr>
        <w:t xml:space="preserve"> </w:t>
      </w:r>
      <w:r w:rsidRPr="00290DCB">
        <w:rPr>
          <w:rFonts w:ascii="Calibri" w:hAnsi="Calibri"/>
        </w:rPr>
        <w:t xml:space="preserve">research </w:t>
      </w:r>
      <w:r>
        <w:rPr>
          <w:rFonts w:ascii="Calibri" w:hAnsi="Calibri"/>
        </w:rPr>
        <w:t>should aim</w:t>
      </w:r>
      <w:r w:rsidRPr="00290DCB">
        <w:rPr>
          <w:rFonts w:ascii="Calibri" w:hAnsi="Calibri"/>
        </w:rPr>
        <w:t xml:space="preserve"> to make a real contribution to improved social and economic challenges in ODA countries.  </w:t>
      </w:r>
      <w:r w:rsidRPr="00290DCB">
        <w:rPr>
          <w:lang w:val="en"/>
        </w:rPr>
        <w:t>Activity should have a hig</w:t>
      </w:r>
      <w:r w:rsidR="00623896">
        <w:rPr>
          <w:lang w:val="en"/>
        </w:rPr>
        <w:t>h likelihood of positive impact as evidenced by</w:t>
      </w:r>
      <w:r w:rsidR="00623896" w:rsidRPr="00623896">
        <w:t xml:space="preserve"> </w:t>
      </w:r>
      <w:r w:rsidR="00623896">
        <w:t>a good understanding and description of the pathway that will lead to impact; identifying and engaging appropriate and local stakeholders</w:t>
      </w:r>
      <w:r w:rsidR="00623896">
        <w:rPr>
          <w:lang w:val="en"/>
        </w:rPr>
        <w:t xml:space="preserve">, and, </w:t>
      </w:r>
      <w:r w:rsidR="00623896">
        <w:t xml:space="preserve">maximising opportunities for impact as appropriate, e.g. via dissemination and public engagement. </w:t>
      </w:r>
    </w:p>
    <w:p w14:paraId="21C7C526" w14:textId="650DF65E" w:rsidR="00A93884" w:rsidRPr="00A93884" w:rsidRDefault="00082C94" w:rsidP="00A93884">
      <w:pPr>
        <w:pStyle w:val="ListParagraph"/>
        <w:numPr>
          <w:ilvl w:val="0"/>
          <w:numId w:val="2"/>
        </w:numPr>
        <w:spacing w:after="0"/>
        <w:rPr>
          <w:rFonts w:ascii="Calibri" w:hAnsi="Calibri"/>
          <w:u w:val="single"/>
        </w:rPr>
      </w:pPr>
      <w:r>
        <w:rPr>
          <w:rFonts w:ascii="Calibri" w:hAnsi="Calibri"/>
          <w:u w:val="single"/>
        </w:rPr>
        <w:t>Sustainability:</w:t>
      </w:r>
      <w:r>
        <w:rPr>
          <w:rFonts w:ascii="Calibri" w:hAnsi="Calibri"/>
        </w:rPr>
        <w:t xml:space="preserve"> </w:t>
      </w:r>
      <w:r w:rsidR="00A93884" w:rsidRPr="00A93884">
        <w:t>Activity should promote strong, enduring and equitable partnerships between academic communities in the UK and in the Global South. Proposals should include plans for how these partnerships will be developed and nurtured both during and beyond the period of funding.</w:t>
      </w:r>
    </w:p>
    <w:p w14:paraId="08B8D32C" w14:textId="650E0191" w:rsidR="00F969F8" w:rsidRPr="00AF0ECB" w:rsidRDefault="00F969F8" w:rsidP="00F969F8">
      <w:pPr>
        <w:pStyle w:val="ListParagraph"/>
        <w:numPr>
          <w:ilvl w:val="0"/>
          <w:numId w:val="2"/>
        </w:numPr>
        <w:spacing w:after="0"/>
        <w:rPr>
          <w:rFonts w:ascii="Calibri" w:hAnsi="Calibri"/>
        </w:rPr>
      </w:pPr>
      <w:r w:rsidRPr="00F969F8">
        <w:rPr>
          <w:rFonts w:ascii="Calibri" w:hAnsi="Calibri"/>
          <w:u w:val="single"/>
        </w:rPr>
        <w:t>Value for money:</w:t>
      </w:r>
      <w:r>
        <w:rPr>
          <w:rFonts w:ascii="Calibri" w:hAnsi="Calibri"/>
        </w:rPr>
        <w:t xml:space="preserve"> Due to the expected diverse range of award size, individual applicants will be assessed on perceived impact vs cost and those with the best value for money will be given priority.</w:t>
      </w:r>
    </w:p>
    <w:p w14:paraId="5CACD952" w14:textId="77777777" w:rsidR="00AA1ED0" w:rsidRPr="00AF0ECB" w:rsidRDefault="00AA1ED0" w:rsidP="00AA1ED0">
      <w:pPr>
        <w:spacing w:after="0"/>
        <w:rPr>
          <w:rFonts w:ascii="Calibri" w:hAnsi="Calibri"/>
        </w:rPr>
      </w:pPr>
    </w:p>
    <w:p w14:paraId="6E4F25BA" w14:textId="77777777" w:rsidR="00D25A2D" w:rsidRDefault="00D25A2D" w:rsidP="00AA1ED0">
      <w:pPr>
        <w:spacing w:after="0"/>
        <w:rPr>
          <w:rFonts w:ascii="Calibri" w:hAnsi="Calibri"/>
          <w:b/>
        </w:rPr>
      </w:pPr>
    </w:p>
    <w:p w14:paraId="77BEC6AB" w14:textId="5F237512" w:rsidR="00AA1ED0" w:rsidRPr="00082C94" w:rsidRDefault="00AA1ED0" w:rsidP="00AA1ED0">
      <w:pPr>
        <w:spacing w:after="0"/>
        <w:rPr>
          <w:rFonts w:ascii="Calibri" w:hAnsi="Calibri"/>
        </w:rPr>
      </w:pPr>
      <w:r w:rsidRPr="00AF0ECB">
        <w:rPr>
          <w:rFonts w:ascii="Calibri" w:hAnsi="Calibri"/>
          <w:b/>
        </w:rPr>
        <w:t>Key commissioning dates</w:t>
      </w:r>
      <w:r w:rsidR="00F06C12">
        <w:rPr>
          <w:rFonts w:ascii="Calibri" w:hAnsi="Calibri"/>
          <w:b/>
        </w:rPr>
        <w:t>:</w:t>
      </w:r>
    </w:p>
    <w:p w14:paraId="338CE28F" w14:textId="77777777" w:rsidR="00F56F11" w:rsidRPr="00AF0ECB" w:rsidRDefault="00F56F11" w:rsidP="00AA1ED0">
      <w:pPr>
        <w:spacing w:after="0"/>
        <w:rPr>
          <w:rFonts w:ascii="Calibri" w:hAnsi="Calibri"/>
          <w:b/>
        </w:rPr>
      </w:pPr>
    </w:p>
    <w:tbl>
      <w:tblPr>
        <w:tblStyle w:val="TableGrid"/>
        <w:tblW w:w="0" w:type="auto"/>
        <w:tblLook w:val="04A0" w:firstRow="1" w:lastRow="0" w:firstColumn="1" w:lastColumn="0" w:noHBand="0" w:noVBand="1"/>
      </w:tblPr>
      <w:tblGrid>
        <w:gridCol w:w="1502"/>
        <w:gridCol w:w="1501"/>
        <w:gridCol w:w="1017"/>
        <w:gridCol w:w="1362"/>
        <w:gridCol w:w="2268"/>
        <w:gridCol w:w="1366"/>
      </w:tblGrid>
      <w:tr w:rsidR="00AA1ED0" w:rsidRPr="00AF0ECB" w14:paraId="4AF0AB16" w14:textId="77777777" w:rsidTr="007E2BD1">
        <w:tc>
          <w:tcPr>
            <w:tcW w:w="1502" w:type="dxa"/>
          </w:tcPr>
          <w:p w14:paraId="6CD8784B" w14:textId="77777777" w:rsidR="00AA1ED0" w:rsidRPr="00AF0ECB" w:rsidRDefault="00AA1ED0" w:rsidP="00AA1ED0">
            <w:pPr>
              <w:rPr>
                <w:rFonts w:ascii="Calibri" w:hAnsi="Calibri"/>
                <w:b/>
              </w:rPr>
            </w:pPr>
            <w:r w:rsidRPr="00AF0ECB">
              <w:rPr>
                <w:rFonts w:ascii="Calibri" w:hAnsi="Calibri"/>
                <w:b/>
              </w:rPr>
              <w:t>Call issued</w:t>
            </w:r>
          </w:p>
        </w:tc>
        <w:tc>
          <w:tcPr>
            <w:tcW w:w="1501" w:type="dxa"/>
          </w:tcPr>
          <w:p w14:paraId="478BBDEC" w14:textId="77777777" w:rsidR="00AA1ED0" w:rsidRPr="00AF0ECB" w:rsidRDefault="00AA1ED0" w:rsidP="00AA1ED0">
            <w:pPr>
              <w:rPr>
                <w:rFonts w:ascii="Calibri" w:hAnsi="Calibri"/>
                <w:b/>
              </w:rPr>
            </w:pPr>
            <w:r w:rsidRPr="00AF0ECB">
              <w:rPr>
                <w:rFonts w:ascii="Calibri" w:hAnsi="Calibri"/>
                <w:b/>
              </w:rPr>
              <w:t>Deadline</w:t>
            </w:r>
          </w:p>
        </w:tc>
        <w:tc>
          <w:tcPr>
            <w:tcW w:w="1017" w:type="dxa"/>
          </w:tcPr>
          <w:p w14:paraId="5701D722" w14:textId="77777777" w:rsidR="00AA1ED0" w:rsidRPr="00AF0ECB" w:rsidRDefault="00AA1ED0" w:rsidP="00AA1ED0">
            <w:pPr>
              <w:rPr>
                <w:rFonts w:ascii="Calibri" w:hAnsi="Calibri"/>
                <w:b/>
              </w:rPr>
            </w:pPr>
            <w:r w:rsidRPr="00AF0ECB">
              <w:rPr>
                <w:rFonts w:ascii="Calibri" w:hAnsi="Calibri"/>
                <w:b/>
              </w:rPr>
              <w:t>Panel meeting</w:t>
            </w:r>
          </w:p>
        </w:tc>
        <w:tc>
          <w:tcPr>
            <w:tcW w:w="1362" w:type="dxa"/>
          </w:tcPr>
          <w:p w14:paraId="7CA7095E" w14:textId="77777777" w:rsidR="00AA1ED0" w:rsidRPr="00AF0ECB" w:rsidRDefault="00AA1ED0" w:rsidP="00AA1ED0">
            <w:pPr>
              <w:rPr>
                <w:rFonts w:ascii="Calibri" w:hAnsi="Calibri"/>
                <w:b/>
              </w:rPr>
            </w:pPr>
            <w:r w:rsidRPr="00AF0ECB">
              <w:rPr>
                <w:rFonts w:ascii="Calibri" w:hAnsi="Calibri"/>
                <w:b/>
              </w:rPr>
              <w:t>Decision to applicants</w:t>
            </w:r>
          </w:p>
        </w:tc>
        <w:tc>
          <w:tcPr>
            <w:tcW w:w="2268" w:type="dxa"/>
          </w:tcPr>
          <w:p w14:paraId="2F1F4912" w14:textId="3FE6FE00" w:rsidR="00AA1ED0" w:rsidRPr="00AF0ECB" w:rsidRDefault="00AA1ED0" w:rsidP="00AA1ED0">
            <w:pPr>
              <w:rPr>
                <w:rFonts w:ascii="Calibri" w:hAnsi="Calibri"/>
                <w:b/>
              </w:rPr>
            </w:pPr>
            <w:r w:rsidRPr="00AF0ECB">
              <w:rPr>
                <w:rFonts w:ascii="Calibri" w:hAnsi="Calibri"/>
                <w:b/>
              </w:rPr>
              <w:t>Earliest project start date</w:t>
            </w:r>
            <w:r w:rsidR="007E2BD1">
              <w:rPr>
                <w:rFonts w:ascii="Calibri" w:hAnsi="Calibri"/>
                <w:b/>
              </w:rPr>
              <w:t xml:space="preserve"> </w:t>
            </w:r>
            <w:r w:rsidR="007E2BD1" w:rsidRPr="007E2BD1">
              <w:rPr>
                <w:rFonts w:ascii="Calibri" w:hAnsi="Calibri"/>
                <w:sz w:val="19"/>
                <w:szCs w:val="19"/>
              </w:rPr>
              <w:t>(if no staff to be appointed or contracts with partners not needed)</w:t>
            </w:r>
          </w:p>
        </w:tc>
        <w:tc>
          <w:tcPr>
            <w:tcW w:w="1366" w:type="dxa"/>
          </w:tcPr>
          <w:p w14:paraId="5E42FCFF" w14:textId="77777777" w:rsidR="00AA1ED0" w:rsidRPr="00AF0ECB" w:rsidRDefault="00AA1ED0" w:rsidP="00AA1ED0">
            <w:pPr>
              <w:rPr>
                <w:rFonts w:ascii="Calibri" w:hAnsi="Calibri"/>
                <w:b/>
              </w:rPr>
            </w:pPr>
            <w:r w:rsidRPr="00AF0ECB">
              <w:rPr>
                <w:rFonts w:ascii="Calibri" w:hAnsi="Calibri"/>
                <w:b/>
              </w:rPr>
              <w:t>Latest project start date</w:t>
            </w:r>
          </w:p>
        </w:tc>
      </w:tr>
      <w:tr w:rsidR="00AA1ED0" w:rsidRPr="00AF0ECB" w14:paraId="257A1BAA" w14:textId="77777777" w:rsidTr="007E2BD1">
        <w:tc>
          <w:tcPr>
            <w:tcW w:w="1502" w:type="dxa"/>
          </w:tcPr>
          <w:p w14:paraId="0DE04CC7" w14:textId="7256BFDF" w:rsidR="00AA1ED0" w:rsidRPr="00E53578" w:rsidRDefault="004574AC" w:rsidP="00AA1ED0">
            <w:pPr>
              <w:rPr>
                <w:rFonts w:ascii="Calibri" w:hAnsi="Calibri"/>
              </w:rPr>
            </w:pPr>
            <w:r>
              <w:rPr>
                <w:rFonts w:ascii="Calibri" w:hAnsi="Calibri"/>
              </w:rPr>
              <w:t>Friday 22</w:t>
            </w:r>
            <w:r w:rsidRPr="004574AC">
              <w:rPr>
                <w:rFonts w:ascii="Calibri" w:hAnsi="Calibri"/>
                <w:vertAlign w:val="superscript"/>
              </w:rPr>
              <w:t>nd</w:t>
            </w:r>
            <w:r>
              <w:rPr>
                <w:rFonts w:ascii="Calibri" w:hAnsi="Calibri"/>
              </w:rPr>
              <w:t xml:space="preserve"> </w:t>
            </w:r>
            <w:r w:rsidR="007E2BD1">
              <w:rPr>
                <w:rFonts w:ascii="Calibri" w:hAnsi="Calibri"/>
              </w:rPr>
              <w:t xml:space="preserve"> November 2019</w:t>
            </w:r>
          </w:p>
        </w:tc>
        <w:tc>
          <w:tcPr>
            <w:tcW w:w="1501" w:type="dxa"/>
          </w:tcPr>
          <w:p w14:paraId="22F32048" w14:textId="77777777" w:rsidR="00583CF3" w:rsidRDefault="00583CF3" w:rsidP="00AA1ED0">
            <w:pPr>
              <w:rPr>
                <w:rFonts w:ascii="Calibri" w:hAnsi="Calibri"/>
              </w:rPr>
            </w:pPr>
            <w:r>
              <w:rPr>
                <w:rFonts w:ascii="Calibri" w:hAnsi="Calibri"/>
              </w:rPr>
              <w:t>12 noon</w:t>
            </w:r>
          </w:p>
          <w:p w14:paraId="70EE2357" w14:textId="5045DB19" w:rsidR="00AA1ED0" w:rsidRPr="00E53578" w:rsidRDefault="007E2BD1" w:rsidP="00AA1ED0">
            <w:pPr>
              <w:rPr>
                <w:rFonts w:ascii="Calibri" w:hAnsi="Calibri"/>
              </w:rPr>
            </w:pPr>
            <w:bookmarkStart w:id="0" w:name="_GoBack"/>
            <w:bookmarkEnd w:id="0"/>
            <w:r>
              <w:rPr>
                <w:rFonts w:ascii="Calibri" w:hAnsi="Calibri"/>
              </w:rPr>
              <w:t>Monday 20</w:t>
            </w:r>
            <w:r w:rsidRPr="007E2BD1">
              <w:rPr>
                <w:rFonts w:ascii="Calibri" w:hAnsi="Calibri"/>
                <w:vertAlign w:val="superscript"/>
              </w:rPr>
              <w:t>th</w:t>
            </w:r>
            <w:r>
              <w:rPr>
                <w:rFonts w:ascii="Calibri" w:hAnsi="Calibri"/>
              </w:rPr>
              <w:t xml:space="preserve"> January 2020</w:t>
            </w:r>
          </w:p>
        </w:tc>
        <w:tc>
          <w:tcPr>
            <w:tcW w:w="1017" w:type="dxa"/>
          </w:tcPr>
          <w:p w14:paraId="7ACEB185" w14:textId="7F489080" w:rsidR="00AA1ED0" w:rsidRPr="00E53578" w:rsidRDefault="007E2BD1" w:rsidP="00AA1ED0">
            <w:pPr>
              <w:rPr>
                <w:rFonts w:ascii="Calibri" w:hAnsi="Calibri"/>
              </w:rPr>
            </w:pPr>
            <w:r>
              <w:rPr>
                <w:rFonts w:ascii="Calibri" w:hAnsi="Calibri"/>
              </w:rPr>
              <w:t>w/c 10 February 2020</w:t>
            </w:r>
          </w:p>
        </w:tc>
        <w:tc>
          <w:tcPr>
            <w:tcW w:w="1362" w:type="dxa"/>
          </w:tcPr>
          <w:p w14:paraId="667D3154" w14:textId="115A6F1A" w:rsidR="00AA1ED0" w:rsidRPr="00E53578" w:rsidRDefault="007E2BD1" w:rsidP="00AA1ED0">
            <w:pPr>
              <w:rPr>
                <w:rFonts w:ascii="Calibri" w:hAnsi="Calibri"/>
              </w:rPr>
            </w:pPr>
            <w:r>
              <w:rPr>
                <w:rFonts w:ascii="Calibri" w:hAnsi="Calibri"/>
              </w:rPr>
              <w:t>w/c 17</w:t>
            </w:r>
            <w:r w:rsidRPr="007E2BD1">
              <w:rPr>
                <w:rFonts w:ascii="Calibri" w:hAnsi="Calibri"/>
                <w:vertAlign w:val="superscript"/>
              </w:rPr>
              <w:t>th</w:t>
            </w:r>
            <w:r>
              <w:rPr>
                <w:rFonts w:ascii="Calibri" w:hAnsi="Calibri"/>
              </w:rPr>
              <w:t xml:space="preserve"> February 2020</w:t>
            </w:r>
          </w:p>
        </w:tc>
        <w:tc>
          <w:tcPr>
            <w:tcW w:w="2268" w:type="dxa"/>
          </w:tcPr>
          <w:p w14:paraId="6BDA40A6" w14:textId="1E251242" w:rsidR="00AA1ED0" w:rsidRPr="00E53578" w:rsidRDefault="007E2BD1" w:rsidP="00AA1ED0">
            <w:pPr>
              <w:rPr>
                <w:rFonts w:ascii="Calibri" w:hAnsi="Calibri"/>
              </w:rPr>
            </w:pPr>
            <w:r>
              <w:rPr>
                <w:rFonts w:ascii="Calibri" w:hAnsi="Calibri"/>
              </w:rPr>
              <w:t>1 March 2020</w:t>
            </w:r>
          </w:p>
        </w:tc>
        <w:tc>
          <w:tcPr>
            <w:tcW w:w="1366" w:type="dxa"/>
          </w:tcPr>
          <w:p w14:paraId="2EEF180B" w14:textId="298ADA0F" w:rsidR="00AA1ED0" w:rsidRPr="00E53578" w:rsidRDefault="007E2BD1" w:rsidP="00AA1ED0">
            <w:pPr>
              <w:rPr>
                <w:rFonts w:ascii="Calibri" w:hAnsi="Calibri"/>
              </w:rPr>
            </w:pPr>
            <w:r>
              <w:rPr>
                <w:rFonts w:ascii="Calibri" w:hAnsi="Calibri"/>
              </w:rPr>
              <w:t>1 May 2020</w:t>
            </w:r>
          </w:p>
        </w:tc>
      </w:tr>
    </w:tbl>
    <w:p w14:paraId="58840F0A" w14:textId="77777777" w:rsidR="00AA1ED0" w:rsidRPr="00AF0ECB" w:rsidRDefault="00AA1ED0" w:rsidP="00AA1ED0">
      <w:pPr>
        <w:spacing w:after="0"/>
        <w:rPr>
          <w:rFonts w:ascii="Calibri" w:hAnsi="Calibri"/>
          <w:b/>
        </w:rPr>
      </w:pPr>
    </w:p>
    <w:p w14:paraId="5D41DB02" w14:textId="0E9793C2" w:rsidR="00AA1ED0" w:rsidRPr="00AF0ECB" w:rsidRDefault="00AA1ED0" w:rsidP="00AA1ED0">
      <w:pPr>
        <w:spacing w:after="0"/>
        <w:rPr>
          <w:rFonts w:ascii="Calibri" w:hAnsi="Calibri"/>
          <w:b/>
        </w:rPr>
      </w:pPr>
      <w:r w:rsidRPr="00AF0ECB">
        <w:rPr>
          <w:rFonts w:ascii="Calibri" w:hAnsi="Calibri"/>
          <w:b/>
        </w:rPr>
        <w:t>Reporting requirements</w:t>
      </w:r>
      <w:r w:rsidR="00F06C12">
        <w:rPr>
          <w:rFonts w:ascii="Calibri" w:hAnsi="Calibri"/>
          <w:b/>
        </w:rPr>
        <w:t>:</w:t>
      </w:r>
    </w:p>
    <w:p w14:paraId="427BB68A" w14:textId="5DF597F0" w:rsidR="00AA1ED0" w:rsidRDefault="00AA1ED0" w:rsidP="00AA1ED0">
      <w:pPr>
        <w:spacing w:after="0"/>
        <w:rPr>
          <w:rFonts w:ascii="Calibri" w:hAnsi="Calibri"/>
        </w:rPr>
      </w:pPr>
      <w:r w:rsidRPr="00AF0ECB">
        <w:rPr>
          <w:rFonts w:ascii="Calibri" w:hAnsi="Calibri"/>
        </w:rPr>
        <w:t>Successful appl</w:t>
      </w:r>
      <w:r w:rsidR="006C5093">
        <w:rPr>
          <w:rFonts w:ascii="Calibri" w:hAnsi="Calibri"/>
        </w:rPr>
        <w:t xml:space="preserve">icants will be required </w:t>
      </w:r>
      <w:r w:rsidRPr="00AF0ECB">
        <w:rPr>
          <w:rFonts w:ascii="Calibri" w:hAnsi="Calibri"/>
        </w:rPr>
        <w:t xml:space="preserve">to submit brief </w:t>
      </w:r>
      <w:r w:rsidR="00F56F11">
        <w:rPr>
          <w:rFonts w:ascii="Calibri" w:hAnsi="Calibri"/>
        </w:rPr>
        <w:t xml:space="preserve">periodic </w:t>
      </w:r>
      <w:r w:rsidRPr="00AF0ECB">
        <w:rPr>
          <w:rFonts w:ascii="Calibri" w:hAnsi="Calibri"/>
        </w:rPr>
        <w:t>report</w:t>
      </w:r>
      <w:r w:rsidR="00F56F11">
        <w:rPr>
          <w:rFonts w:ascii="Calibri" w:hAnsi="Calibri"/>
        </w:rPr>
        <w:t xml:space="preserve">s to R&amp;E </w:t>
      </w:r>
      <w:r w:rsidR="00DE23F7">
        <w:rPr>
          <w:rFonts w:ascii="Calibri" w:hAnsi="Calibri"/>
        </w:rPr>
        <w:t xml:space="preserve">on progress </w:t>
      </w:r>
      <w:r w:rsidR="006C5093">
        <w:rPr>
          <w:rFonts w:ascii="Calibri" w:hAnsi="Calibri"/>
        </w:rPr>
        <w:t xml:space="preserve">and outcomes </w:t>
      </w:r>
      <w:r w:rsidR="00DE23F7">
        <w:rPr>
          <w:rFonts w:ascii="Calibri" w:hAnsi="Calibri"/>
        </w:rPr>
        <w:t xml:space="preserve">to date </w:t>
      </w:r>
      <w:r w:rsidR="00F56F11">
        <w:rPr>
          <w:rFonts w:ascii="Calibri" w:hAnsi="Calibri"/>
        </w:rPr>
        <w:t>which will be in</w:t>
      </w:r>
      <w:r w:rsidR="00DE23F7">
        <w:rPr>
          <w:rFonts w:ascii="Calibri" w:hAnsi="Calibri"/>
        </w:rPr>
        <w:t>cluded in th</w:t>
      </w:r>
      <w:r w:rsidR="00082C94">
        <w:rPr>
          <w:rFonts w:ascii="Calibri" w:hAnsi="Calibri"/>
        </w:rPr>
        <w:t>e University’s annual report to</w:t>
      </w:r>
      <w:r w:rsidR="00DE23F7">
        <w:rPr>
          <w:rFonts w:ascii="Calibri" w:hAnsi="Calibri"/>
        </w:rPr>
        <w:t xml:space="preserve"> Research England.</w:t>
      </w:r>
    </w:p>
    <w:p w14:paraId="2B1150B0" w14:textId="77777777" w:rsidR="00EA59CD" w:rsidRPr="00AF0ECB" w:rsidRDefault="00EA59CD" w:rsidP="00AA1ED0">
      <w:pPr>
        <w:spacing w:after="0"/>
        <w:rPr>
          <w:rFonts w:ascii="Calibri" w:hAnsi="Calibri"/>
        </w:rPr>
      </w:pPr>
    </w:p>
    <w:p w14:paraId="65D42211" w14:textId="680C3079" w:rsidR="00AA1ED0" w:rsidRPr="00AF0ECB" w:rsidRDefault="00AA1ED0" w:rsidP="00AA1ED0">
      <w:pPr>
        <w:spacing w:after="0"/>
        <w:rPr>
          <w:rFonts w:ascii="Calibri" w:hAnsi="Calibri"/>
          <w:b/>
        </w:rPr>
      </w:pPr>
      <w:r w:rsidRPr="00AF0ECB">
        <w:rPr>
          <w:rFonts w:ascii="Calibri" w:hAnsi="Calibri"/>
          <w:b/>
        </w:rPr>
        <w:t>Further information</w:t>
      </w:r>
      <w:r w:rsidR="00F06C12">
        <w:rPr>
          <w:rFonts w:ascii="Calibri" w:hAnsi="Calibri"/>
          <w:b/>
        </w:rPr>
        <w:t>:</w:t>
      </w:r>
    </w:p>
    <w:p w14:paraId="162BD0E0" w14:textId="77777777" w:rsidR="00AA1ED0" w:rsidRPr="00AF0ECB" w:rsidRDefault="00AA1ED0" w:rsidP="00AA1ED0">
      <w:pPr>
        <w:rPr>
          <w:rFonts w:ascii="Calibri" w:hAnsi="Calibri"/>
        </w:rPr>
      </w:pPr>
      <w:r w:rsidRPr="00AF0ECB">
        <w:rPr>
          <w:rFonts w:ascii="Calibri" w:hAnsi="Calibri"/>
        </w:rPr>
        <w:t xml:space="preserve">If you would like to discuss your application please contact Debbie Foy-Everett, </w:t>
      </w:r>
      <w:hyperlink r:id="rId16" w:history="1">
        <w:r w:rsidRPr="00AF0ECB">
          <w:rPr>
            <w:rStyle w:val="Hyperlink"/>
            <w:rFonts w:ascii="Calibri" w:hAnsi="Calibri"/>
          </w:rPr>
          <w:t>D.Foy-Everett@sussex.ac.uk</w:t>
        </w:r>
      </w:hyperlink>
      <w:r w:rsidRPr="00AF0ECB">
        <w:rPr>
          <w:rFonts w:ascii="Calibri" w:hAnsi="Calibri"/>
        </w:rPr>
        <w:t xml:space="preserve"> ext 3812</w:t>
      </w:r>
    </w:p>
    <w:p w14:paraId="105C1269" w14:textId="77777777" w:rsidR="00196338" w:rsidRDefault="00AA1ED0" w:rsidP="00AA1ED0">
      <w:pPr>
        <w:rPr>
          <w:rFonts w:ascii="Calibri" w:hAnsi="Calibri"/>
        </w:rPr>
      </w:pPr>
      <w:r w:rsidRPr="00AF0ECB">
        <w:rPr>
          <w:rFonts w:ascii="Calibri" w:hAnsi="Calibri"/>
        </w:rPr>
        <w:t>All costing queri</w:t>
      </w:r>
      <w:r w:rsidR="00082C94">
        <w:rPr>
          <w:rFonts w:ascii="Calibri" w:hAnsi="Calibri"/>
        </w:rPr>
        <w:t xml:space="preserve">es should be directed to </w:t>
      </w:r>
      <w:r w:rsidRPr="00082C94">
        <w:rPr>
          <w:rFonts w:ascii="Calibri" w:hAnsi="Calibri"/>
        </w:rPr>
        <w:t xml:space="preserve">Taryn Collins, </w:t>
      </w:r>
      <w:hyperlink r:id="rId17" w:history="1">
        <w:r w:rsidRPr="00082C94">
          <w:rPr>
            <w:rStyle w:val="Hyperlink"/>
            <w:rFonts w:ascii="Calibri" w:hAnsi="Calibri"/>
          </w:rPr>
          <w:t>research.initiatives@sussex.ac.uk</w:t>
        </w:r>
      </w:hyperlink>
      <w:r w:rsidRPr="00082C94">
        <w:rPr>
          <w:rFonts w:ascii="Calibri" w:hAnsi="Calibri"/>
        </w:rPr>
        <w:t xml:space="preserve"> ext 7447</w:t>
      </w:r>
    </w:p>
    <w:p w14:paraId="5B0ECD1A" w14:textId="77777777" w:rsidR="00510E32" w:rsidRPr="00BE6A25" w:rsidRDefault="00510E32" w:rsidP="00AA1ED0">
      <w:pPr>
        <w:rPr>
          <w:rFonts w:ascii="Calibri" w:hAnsi="Calibri"/>
        </w:rPr>
      </w:pPr>
    </w:p>
    <w:sectPr w:rsidR="00510E32" w:rsidRPr="00BE6A25">
      <w:footerReference w:type="default" r:id="rId1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376D23" w16cid:durableId="217E95E6"/>
  <w16cid:commentId w16cid:paraId="35A0C93F" w16cid:durableId="217E95E7"/>
  <w16cid:commentId w16cid:paraId="6B61C728" w16cid:durableId="217E95E8"/>
  <w16cid:commentId w16cid:paraId="427F491E" w16cid:durableId="217E95E9"/>
  <w16cid:commentId w16cid:paraId="3E8157FE" w16cid:durableId="217E95EA"/>
  <w16cid:commentId w16cid:paraId="44E5CA9B" w16cid:durableId="217ECB28"/>
  <w16cid:commentId w16cid:paraId="3E225C49" w16cid:durableId="217E95EB"/>
  <w16cid:commentId w16cid:paraId="09A0953E" w16cid:durableId="217ECB56"/>
  <w16cid:commentId w16cid:paraId="62C69DA1" w16cid:durableId="217E95EC"/>
  <w16cid:commentId w16cid:paraId="0275B3A7" w16cid:durableId="217E95ED"/>
  <w16cid:commentId w16cid:paraId="486C5E23" w16cid:durableId="217E95EE"/>
  <w16cid:commentId w16cid:paraId="6D13FB54" w16cid:durableId="217ECBA9"/>
  <w16cid:commentId w16cid:paraId="79772E3F" w16cid:durableId="217E95EF"/>
  <w16cid:commentId w16cid:paraId="2C152252" w16cid:durableId="217E95F0"/>
  <w16cid:commentId w16cid:paraId="05D412C2" w16cid:durableId="217E95F1"/>
  <w16cid:commentId w16cid:paraId="6EC31E49" w16cid:durableId="217ECBFD"/>
  <w16cid:commentId w16cid:paraId="0FB2A1E1" w16cid:durableId="217E95F2"/>
  <w16cid:commentId w16cid:paraId="53AF88BD" w16cid:durableId="217E95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E7CCE" w14:textId="77777777" w:rsidR="008D79D5" w:rsidRDefault="008D79D5" w:rsidP="004E2C5F">
      <w:pPr>
        <w:spacing w:after="0" w:line="240" w:lineRule="auto"/>
      </w:pPr>
      <w:r>
        <w:separator/>
      </w:r>
    </w:p>
  </w:endnote>
  <w:endnote w:type="continuationSeparator" w:id="0">
    <w:p w14:paraId="3566FDE7" w14:textId="77777777" w:rsidR="008D79D5" w:rsidRDefault="008D79D5" w:rsidP="004E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095131"/>
      <w:docPartObj>
        <w:docPartGallery w:val="Page Numbers (Bottom of Page)"/>
        <w:docPartUnique/>
      </w:docPartObj>
    </w:sdtPr>
    <w:sdtEndPr/>
    <w:sdtContent>
      <w:sdt>
        <w:sdtPr>
          <w:id w:val="-1769616900"/>
          <w:docPartObj>
            <w:docPartGallery w:val="Page Numbers (Top of Page)"/>
            <w:docPartUnique/>
          </w:docPartObj>
        </w:sdtPr>
        <w:sdtEndPr/>
        <w:sdtContent>
          <w:p w14:paraId="5797B760" w14:textId="313D8A25" w:rsidR="00453EEA" w:rsidRDefault="00453EE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83CF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3CF3">
              <w:rPr>
                <w:b/>
                <w:bCs/>
                <w:noProof/>
              </w:rPr>
              <w:t>5</w:t>
            </w:r>
            <w:r>
              <w:rPr>
                <w:b/>
                <w:bCs/>
                <w:sz w:val="24"/>
                <w:szCs w:val="24"/>
              </w:rPr>
              <w:fldChar w:fldCharType="end"/>
            </w:r>
          </w:p>
        </w:sdtContent>
      </w:sdt>
    </w:sdtContent>
  </w:sdt>
  <w:p w14:paraId="7F3D17D3" w14:textId="77777777" w:rsidR="00453EEA" w:rsidRDefault="00453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B7F0D" w14:textId="77777777" w:rsidR="008D79D5" w:rsidRDefault="008D79D5" w:rsidP="004E2C5F">
      <w:pPr>
        <w:spacing w:after="0" w:line="240" w:lineRule="auto"/>
      </w:pPr>
      <w:r>
        <w:separator/>
      </w:r>
    </w:p>
  </w:footnote>
  <w:footnote w:type="continuationSeparator" w:id="0">
    <w:p w14:paraId="64EBD56F" w14:textId="77777777" w:rsidR="008D79D5" w:rsidRDefault="008D79D5" w:rsidP="004E2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65AC"/>
    <w:multiLevelType w:val="hybridMultilevel"/>
    <w:tmpl w:val="76F4D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A1174"/>
    <w:multiLevelType w:val="hybridMultilevel"/>
    <w:tmpl w:val="6A2C9A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A124B7"/>
    <w:multiLevelType w:val="hybridMultilevel"/>
    <w:tmpl w:val="B8B20D4C"/>
    <w:lvl w:ilvl="0" w:tplc="593AA008">
      <w:start w:val="1"/>
      <w:numFmt w:val="decimal"/>
      <w:lvlText w:val="%1)"/>
      <w:lvlJc w:val="left"/>
      <w:pPr>
        <w:ind w:left="1004" w:hanging="360"/>
      </w:pPr>
      <w:rPr>
        <w:rFonts w:ascii="Calibri" w:eastAsiaTheme="minorHAnsi" w:hAnsi="Calibri" w:cstheme="minorBidi"/>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15D3F63"/>
    <w:multiLevelType w:val="hybridMultilevel"/>
    <w:tmpl w:val="CCF20BF6"/>
    <w:lvl w:ilvl="0" w:tplc="B85885F0">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71EB6"/>
    <w:multiLevelType w:val="hybridMultilevel"/>
    <w:tmpl w:val="CAC81012"/>
    <w:lvl w:ilvl="0" w:tplc="F38CF1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230EF0"/>
    <w:multiLevelType w:val="hybridMultilevel"/>
    <w:tmpl w:val="8A009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C06CE1"/>
    <w:multiLevelType w:val="hybridMultilevel"/>
    <w:tmpl w:val="F7CAA824"/>
    <w:lvl w:ilvl="0" w:tplc="B406F7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DA451B"/>
    <w:multiLevelType w:val="hybridMultilevel"/>
    <w:tmpl w:val="7DF47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CC3766"/>
    <w:multiLevelType w:val="hybridMultilevel"/>
    <w:tmpl w:val="E42E486C"/>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9" w15:restartNumberingAfterBreak="0">
    <w:nsid w:val="30FC798B"/>
    <w:multiLevelType w:val="hybridMultilevel"/>
    <w:tmpl w:val="96303DF6"/>
    <w:lvl w:ilvl="0" w:tplc="77B6FC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931B38"/>
    <w:multiLevelType w:val="hybridMultilevel"/>
    <w:tmpl w:val="C61CA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FC2660"/>
    <w:multiLevelType w:val="hybridMultilevel"/>
    <w:tmpl w:val="EE08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262B9"/>
    <w:multiLevelType w:val="multilevel"/>
    <w:tmpl w:val="26084B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8D3647"/>
    <w:multiLevelType w:val="hybridMultilevel"/>
    <w:tmpl w:val="9F7A7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79377B"/>
    <w:multiLevelType w:val="hybridMultilevel"/>
    <w:tmpl w:val="EB220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605DD9"/>
    <w:multiLevelType w:val="hybridMultilevel"/>
    <w:tmpl w:val="1F44B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3E03E4"/>
    <w:multiLevelType w:val="multilevel"/>
    <w:tmpl w:val="C7602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263B82"/>
    <w:multiLevelType w:val="hybridMultilevel"/>
    <w:tmpl w:val="6D06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D1CCD"/>
    <w:multiLevelType w:val="hybridMultilevel"/>
    <w:tmpl w:val="805E2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882085"/>
    <w:multiLevelType w:val="hybridMultilevel"/>
    <w:tmpl w:val="9142FA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B83368"/>
    <w:multiLevelType w:val="hybridMultilevel"/>
    <w:tmpl w:val="A68C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845A60"/>
    <w:multiLevelType w:val="hybridMultilevel"/>
    <w:tmpl w:val="98FCA604"/>
    <w:lvl w:ilvl="0" w:tplc="0C22E1D4">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69F5911"/>
    <w:multiLevelType w:val="hybridMultilevel"/>
    <w:tmpl w:val="7AFA64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140EA3"/>
    <w:multiLevelType w:val="hybridMultilevel"/>
    <w:tmpl w:val="B9B61074"/>
    <w:lvl w:ilvl="0" w:tplc="0A9409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20C4A"/>
    <w:multiLevelType w:val="hybridMultilevel"/>
    <w:tmpl w:val="6EA0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7C1ADE"/>
    <w:multiLevelType w:val="hybridMultilevel"/>
    <w:tmpl w:val="737A8B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7D7E21"/>
    <w:multiLevelType w:val="hybridMultilevel"/>
    <w:tmpl w:val="2B22FC56"/>
    <w:lvl w:ilvl="0" w:tplc="0374FA0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8A9F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44E4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D2D9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04CF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86DB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7440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7C35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A6E4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3F44C79"/>
    <w:multiLevelType w:val="hybridMultilevel"/>
    <w:tmpl w:val="FE3E3162"/>
    <w:lvl w:ilvl="0" w:tplc="5254E0AE">
      <w:start w:val="1"/>
      <w:numFmt w:val="decimal"/>
      <w:lvlText w:val="%1."/>
      <w:lvlJc w:val="left"/>
      <w:pPr>
        <w:ind w:left="720" w:hanging="360"/>
      </w:pPr>
      <w:rPr>
        <w:rFonts w:hint="default"/>
        <w:b/>
        <w:color w:val="2E2D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4D7D26"/>
    <w:multiLevelType w:val="hybridMultilevel"/>
    <w:tmpl w:val="CBDA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774337"/>
    <w:multiLevelType w:val="multilevel"/>
    <w:tmpl w:val="C6227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FF1E88"/>
    <w:multiLevelType w:val="hybridMultilevel"/>
    <w:tmpl w:val="07C0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7919F4"/>
    <w:multiLevelType w:val="hybridMultilevel"/>
    <w:tmpl w:val="C7E40B1A"/>
    <w:lvl w:ilvl="0" w:tplc="4FD63B38">
      <w:start w:val="1"/>
      <w:numFmt w:val="decimal"/>
      <w:lvlText w:val="%1"/>
      <w:lvlJc w:val="left"/>
      <w:pPr>
        <w:ind w:left="720" w:hanging="360"/>
      </w:pPr>
      <w:rPr>
        <w:rFonts w:ascii="Calibri" w:eastAsiaTheme="minorHAnsi" w:hAnsi="Calibr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BE5301"/>
    <w:multiLevelType w:val="multilevel"/>
    <w:tmpl w:val="4B045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B14065"/>
    <w:multiLevelType w:val="hybridMultilevel"/>
    <w:tmpl w:val="6E46E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1A650AD"/>
    <w:multiLevelType w:val="hybridMultilevel"/>
    <w:tmpl w:val="FD9017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73930EB8"/>
    <w:multiLevelType w:val="multilevel"/>
    <w:tmpl w:val="C7688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4C4714"/>
    <w:multiLevelType w:val="hybridMultilevel"/>
    <w:tmpl w:val="1C625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4A3760"/>
    <w:multiLevelType w:val="hybridMultilevel"/>
    <w:tmpl w:val="5DB2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BF2AC3"/>
    <w:multiLevelType w:val="hybridMultilevel"/>
    <w:tmpl w:val="46A23C96"/>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num w:numId="1">
    <w:abstractNumId w:val="30"/>
  </w:num>
  <w:num w:numId="2">
    <w:abstractNumId w:val="31"/>
  </w:num>
  <w:num w:numId="3">
    <w:abstractNumId w:val="20"/>
  </w:num>
  <w:num w:numId="4">
    <w:abstractNumId w:val="24"/>
  </w:num>
  <w:num w:numId="5">
    <w:abstractNumId w:val="10"/>
  </w:num>
  <w:num w:numId="6">
    <w:abstractNumId w:val="17"/>
  </w:num>
  <w:num w:numId="7">
    <w:abstractNumId w:val="37"/>
  </w:num>
  <w:num w:numId="8">
    <w:abstractNumId w:val="2"/>
  </w:num>
  <w:num w:numId="9">
    <w:abstractNumId w:val="26"/>
  </w:num>
  <w:num w:numId="10">
    <w:abstractNumId w:val="21"/>
  </w:num>
  <w:num w:numId="11">
    <w:abstractNumId w:val="7"/>
  </w:num>
  <w:num w:numId="12">
    <w:abstractNumId w:val="11"/>
  </w:num>
  <w:num w:numId="13">
    <w:abstractNumId w:val="32"/>
  </w:num>
  <w:num w:numId="14">
    <w:abstractNumId w:val="12"/>
  </w:num>
  <w:num w:numId="15">
    <w:abstractNumId w:val="29"/>
  </w:num>
  <w:num w:numId="16">
    <w:abstractNumId w:val="16"/>
  </w:num>
  <w:num w:numId="17">
    <w:abstractNumId w:val="35"/>
  </w:num>
  <w:num w:numId="18">
    <w:abstractNumId w:val="18"/>
  </w:num>
  <w:num w:numId="19">
    <w:abstractNumId w:val="27"/>
  </w:num>
  <w:num w:numId="20">
    <w:abstractNumId w:val="38"/>
  </w:num>
  <w:num w:numId="21">
    <w:abstractNumId w:val="14"/>
  </w:num>
  <w:num w:numId="22">
    <w:abstractNumId w:val="8"/>
  </w:num>
  <w:num w:numId="23">
    <w:abstractNumId w:val="5"/>
  </w:num>
  <w:num w:numId="24">
    <w:abstractNumId w:val="33"/>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9"/>
  </w:num>
  <w:num w:numId="28">
    <w:abstractNumId w:val="4"/>
  </w:num>
  <w:num w:numId="29">
    <w:abstractNumId w:val="6"/>
  </w:num>
  <w:num w:numId="30">
    <w:abstractNumId w:val="22"/>
  </w:num>
  <w:num w:numId="31">
    <w:abstractNumId w:val="13"/>
  </w:num>
  <w:num w:numId="32">
    <w:abstractNumId w:val="23"/>
  </w:num>
  <w:num w:numId="33">
    <w:abstractNumId w:val="3"/>
  </w:num>
  <w:num w:numId="34">
    <w:abstractNumId w:val="0"/>
  </w:num>
  <w:num w:numId="35">
    <w:abstractNumId w:val="28"/>
  </w:num>
  <w:num w:numId="36">
    <w:abstractNumId w:val="1"/>
  </w:num>
  <w:num w:numId="37">
    <w:abstractNumId w:val="36"/>
  </w:num>
  <w:num w:numId="38">
    <w:abstractNumId w:val="1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D0"/>
    <w:rsid w:val="00003106"/>
    <w:rsid w:val="0003149C"/>
    <w:rsid w:val="000411D2"/>
    <w:rsid w:val="00055559"/>
    <w:rsid w:val="00057A24"/>
    <w:rsid w:val="00066F88"/>
    <w:rsid w:val="00076004"/>
    <w:rsid w:val="00082C94"/>
    <w:rsid w:val="0008375F"/>
    <w:rsid w:val="00087A83"/>
    <w:rsid w:val="00090CD2"/>
    <w:rsid w:val="0009512C"/>
    <w:rsid w:val="00096103"/>
    <w:rsid w:val="000B03B7"/>
    <w:rsid w:val="000C15D7"/>
    <w:rsid w:val="000D3204"/>
    <w:rsid w:val="000D55C4"/>
    <w:rsid w:val="000E54FC"/>
    <w:rsid w:val="000F2F4A"/>
    <w:rsid w:val="00111F89"/>
    <w:rsid w:val="001245B4"/>
    <w:rsid w:val="001251AA"/>
    <w:rsid w:val="0017222D"/>
    <w:rsid w:val="00187ECF"/>
    <w:rsid w:val="00193735"/>
    <w:rsid w:val="00196338"/>
    <w:rsid w:val="001A1184"/>
    <w:rsid w:val="001A1C2C"/>
    <w:rsid w:val="001A6C2D"/>
    <w:rsid w:val="001A6EFB"/>
    <w:rsid w:val="001B4E0A"/>
    <w:rsid w:val="001C387B"/>
    <w:rsid w:val="001C6A33"/>
    <w:rsid w:val="001D1C14"/>
    <w:rsid w:val="001E7B32"/>
    <w:rsid w:val="0023528D"/>
    <w:rsid w:val="00240C41"/>
    <w:rsid w:val="0025139D"/>
    <w:rsid w:val="00275269"/>
    <w:rsid w:val="00290DCB"/>
    <w:rsid w:val="00295F20"/>
    <w:rsid w:val="002C4339"/>
    <w:rsid w:val="002C5FC0"/>
    <w:rsid w:val="002E5EFC"/>
    <w:rsid w:val="003036DC"/>
    <w:rsid w:val="003112E2"/>
    <w:rsid w:val="00313A7F"/>
    <w:rsid w:val="00315095"/>
    <w:rsid w:val="003236A6"/>
    <w:rsid w:val="00324BDB"/>
    <w:rsid w:val="00326F22"/>
    <w:rsid w:val="00335A7A"/>
    <w:rsid w:val="00347F83"/>
    <w:rsid w:val="003601A9"/>
    <w:rsid w:val="00361C7E"/>
    <w:rsid w:val="0038100A"/>
    <w:rsid w:val="003A432B"/>
    <w:rsid w:val="003B61AF"/>
    <w:rsid w:val="003C48E0"/>
    <w:rsid w:val="003D0F37"/>
    <w:rsid w:val="003D4DFC"/>
    <w:rsid w:val="003D57F2"/>
    <w:rsid w:val="00402D3B"/>
    <w:rsid w:val="004032D5"/>
    <w:rsid w:val="00417155"/>
    <w:rsid w:val="00450FD5"/>
    <w:rsid w:val="00450FF8"/>
    <w:rsid w:val="00453EEA"/>
    <w:rsid w:val="004574AC"/>
    <w:rsid w:val="004871E3"/>
    <w:rsid w:val="00495AB5"/>
    <w:rsid w:val="004B415A"/>
    <w:rsid w:val="004C0C29"/>
    <w:rsid w:val="004C6688"/>
    <w:rsid w:val="004E02DE"/>
    <w:rsid w:val="004E2C5F"/>
    <w:rsid w:val="004E7961"/>
    <w:rsid w:val="00510E32"/>
    <w:rsid w:val="00524288"/>
    <w:rsid w:val="00527596"/>
    <w:rsid w:val="0053365A"/>
    <w:rsid w:val="00540FF6"/>
    <w:rsid w:val="00545182"/>
    <w:rsid w:val="00545670"/>
    <w:rsid w:val="005635E9"/>
    <w:rsid w:val="00563706"/>
    <w:rsid w:val="00583CF3"/>
    <w:rsid w:val="005900B0"/>
    <w:rsid w:val="005C0E6A"/>
    <w:rsid w:val="005E0E23"/>
    <w:rsid w:val="005E1AE8"/>
    <w:rsid w:val="00623896"/>
    <w:rsid w:val="00624781"/>
    <w:rsid w:val="0062696B"/>
    <w:rsid w:val="00670811"/>
    <w:rsid w:val="006A10C8"/>
    <w:rsid w:val="006C2AF6"/>
    <w:rsid w:val="006C5093"/>
    <w:rsid w:val="007051E7"/>
    <w:rsid w:val="00707294"/>
    <w:rsid w:val="00712506"/>
    <w:rsid w:val="0074481A"/>
    <w:rsid w:val="007525EA"/>
    <w:rsid w:val="00753B1A"/>
    <w:rsid w:val="00757F1F"/>
    <w:rsid w:val="00761774"/>
    <w:rsid w:val="00780424"/>
    <w:rsid w:val="007A2DA9"/>
    <w:rsid w:val="007A6507"/>
    <w:rsid w:val="007B7057"/>
    <w:rsid w:val="007C1606"/>
    <w:rsid w:val="007C2ACA"/>
    <w:rsid w:val="007C5C53"/>
    <w:rsid w:val="007D3682"/>
    <w:rsid w:val="007E2BD1"/>
    <w:rsid w:val="007E4F06"/>
    <w:rsid w:val="007F7952"/>
    <w:rsid w:val="008018A8"/>
    <w:rsid w:val="00802104"/>
    <w:rsid w:val="00803C36"/>
    <w:rsid w:val="0084208A"/>
    <w:rsid w:val="00871452"/>
    <w:rsid w:val="008915C9"/>
    <w:rsid w:val="008A2329"/>
    <w:rsid w:val="008B2B43"/>
    <w:rsid w:val="008B3C33"/>
    <w:rsid w:val="008C2F06"/>
    <w:rsid w:val="008D79D5"/>
    <w:rsid w:val="008F480C"/>
    <w:rsid w:val="00964751"/>
    <w:rsid w:val="00965609"/>
    <w:rsid w:val="00967312"/>
    <w:rsid w:val="00971FFD"/>
    <w:rsid w:val="009747B1"/>
    <w:rsid w:val="00975968"/>
    <w:rsid w:val="00976696"/>
    <w:rsid w:val="00980727"/>
    <w:rsid w:val="00986503"/>
    <w:rsid w:val="00986B6F"/>
    <w:rsid w:val="009930E5"/>
    <w:rsid w:val="009B06BD"/>
    <w:rsid w:val="009D284A"/>
    <w:rsid w:val="009E007C"/>
    <w:rsid w:val="009F4167"/>
    <w:rsid w:val="009F4616"/>
    <w:rsid w:val="00A0503F"/>
    <w:rsid w:val="00A44605"/>
    <w:rsid w:val="00A64F7C"/>
    <w:rsid w:val="00A71BC8"/>
    <w:rsid w:val="00A760C3"/>
    <w:rsid w:val="00A825B0"/>
    <w:rsid w:val="00A93884"/>
    <w:rsid w:val="00AA1ED0"/>
    <w:rsid w:val="00AB1127"/>
    <w:rsid w:val="00AC5DA9"/>
    <w:rsid w:val="00AD3667"/>
    <w:rsid w:val="00AE2DF6"/>
    <w:rsid w:val="00AE5CD0"/>
    <w:rsid w:val="00AF0ECB"/>
    <w:rsid w:val="00AF73CB"/>
    <w:rsid w:val="00B268C2"/>
    <w:rsid w:val="00B459F6"/>
    <w:rsid w:val="00B95B9E"/>
    <w:rsid w:val="00BA618F"/>
    <w:rsid w:val="00BA7FB5"/>
    <w:rsid w:val="00BB02D5"/>
    <w:rsid w:val="00BE6A25"/>
    <w:rsid w:val="00C00D5A"/>
    <w:rsid w:val="00C130FD"/>
    <w:rsid w:val="00C143DE"/>
    <w:rsid w:val="00C27E78"/>
    <w:rsid w:val="00C35F19"/>
    <w:rsid w:val="00C43730"/>
    <w:rsid w:val="00C44D38"/>
    <w:rsid w:val="00C70E56"/>
    <w:rsid w:val="00C87828"/>
    <w:rsid w:val="00C94758"/>
    <w:rsid w:val="00C9586C"/>
    <w:rsid w:val="00C95D36"/>
    <w:rsid w:val="00CA2282"/>
    <w:rsid w:val="00CC1140"/>
    <w:rsid w:val="00CC2C2E"/>
    <w:rsid w:val="00CC7CC4"/>
    <w:rsid w:val="00CD62D5"/>
    <w:rsid w:val="00CE0FE5"/>
    <w:rsid w:val="00D026AE"/>
    <w:rsid w:val="00D12899"/>
    <w:rsid w:val="00D25A2D"/>
    <w:rsid w:val="00D85472"/>
    <w:rsid w:val="00DA7E28"/>
    <w:rsid w:val="00DB0D38"/>
    <w:rsid w:val="00DE23F7"/>
    <w:rsid w:val="00DE2437"/>
    <w:rsid w:val="00DE390F"/>
    <w:rsid w:val="00DF22FB"/>
    <w:rsid w:val="00E01DD2"/>
    <w:rsid w:val="00E04C20"/>
    <w:rsid w:val="00E125FE"/>
    <w:rsid w:val="00E13C90"/>
    <w:rsid w:val="00E33986"/>
    <w:rsid w:val="00E37FD3"/>
    <w:rsid w:val="00E53578"/>
    <w:rsid w:val="00E57BDE"/>
    <w:rsid w:val="00E71450"/>
    <w:rsid w:val="00EA59CD"/>
    <w:rsid w:val="00EB135F"/>
    <w:rsid w:val="00EC0705"/>
    <w:rsid w:val="00ED0816"/>
    <w:rsid w:val="00ED35B4"/>
    <w:rsid w:val="00EE444A"/>
    <w:rsid w:val="00EE6D0E"/>
    <w:rsid w:val="00EE7C31"/>
    <w:rsid w:val="00F055A8"/>
    <w:rsid w:val="00F06C12"/>
    <w:rsid w:val="00F11E4B"/>
    <w:rsid w:val="00F368FB"/>
    <w:rsid w:val="00F421CC"/>
    <w:rsid w:val="00F555EF"/>
    <w:rsid w:val="00F56F11"/>
    <w:rsid w:val="00F67E70"/>
    <w:rsid w:val="00F71AAF"/>
    <w:rsid w:val="00F867AF"/>
    <w:rsid w:val="00F9575B"/>
    <w:rsid w:val="00F969F8"/>
    <w:rsid w:val="00FD1551"/>
    <w:rsid w:val="00FD416F"/>
    <w:rsid w:val="00FE3FC9"/>
    <w:rsid w:val="00FE7B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5AC5"/>
  <w15:chartTrackingRefBased/>
  <w15:docId w15:val="{383F698E-AA4F-48D3-8187-41A28154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EE7C31"/>
    <w:pPr>
      <w:keepNext/>
      <w:keepLines/>
      <w:spacing w:after="2" w:line="256" w:lineRule="auto"/>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ED0"/>
    <w:rPr>
      <w:color w:val="0563C1" w:themeColor="hyperlink"/>
      <w:u w:val="single"/>
    </w:rPr>
  </w:style>
  <w:style w:type="paragraph" w:styleId="ListParagraph">
    <w:name w:val="List Paragraph"/>
    <w:basedOn w:val="Normal"/>
    <w:uiPriority w:val="34"/>
    <w:qFormat/>
    <w:rsid w:val="00AA1ED0"/>
    <w:pPr>
      <w:ind w:left="720"/>
      <w:contextualSpacing/>
    </w:pPr>
  </w:style>
  <w:style w:type="character" w:styleId="CommentReference">
    <w:name w:val="annotation reference"/>
    <w:basedOn w:val="DefaultParagraphFont"/>
    <w:uiPriority w:val="99"/>
    <w:semiHidden/>
    <w:unhideWhenUsed/>
    <w:rsid w:val="00AA1ED0"/>
    <w:rPr>
      <w:sz w:val="16"/>
      <w:szCs w:val="16"/>
    </w:rPr>
  </w:style>
  <w:style w:type="paragraph" w:styleId="CommentText">
    <w:name w:val="annotation text"/>
    <w:basedOn w:val="Normal"/>
    <w:link w:val="CommentTextChar"/>
    <w:uiPriority w:val="99"/>
    <w:unhideWhenUsed/>
    <w:rsid w:val="00AA1ED0"/>
    <w:pPr>
      <w:spacing w:line="240" w:lineRule="auto"/>
    </w:pPr>
    <w:rPr>
      <w:sz w:val="20"/>
      <w:szCs w:val="20"/>
    </w:rPr>
  </w:style>
  <w:style w:type="character" w:customStyle="1" w:styleId="CommentTextChar">
    <w:name w:val="Comment Text Char"/>
    <w:basedOn w:val="DefaultParagraphFont"/>
    <w:link w:val="CommentText"/>
    <w:uiPriority w:val="99"/>
    <w:rsid w:val="00AA1ED0"/>
    <w:rPr>
      <w:sz w:val="20"/>
      <w:szCs w:val="20"/>
    </w:rPr>
  </w:style>
  <w:style w:type="paragraph" w:styleId="CommentSubject">
    <w:name w:val="annotation subject"/>
    <w:basedOn w:val="CommentText"/>
    <w:next w:val="CommentText"/>
    <w:link w:val="CommentSubjectChar"/>
    <w:uiPriority w:val="99"/>
    <w:semiHidden/>
    <w:unhideWhenUsed/>
    <w:rsid w:val="00AA1ED0"/>
    <w:rPr>
      <w:b/>
      <w:bCs/>
    </w:rPr>
  </w:style>
  <w:style w:type="character" w:customStyle="1" w:styleId="CommentSubjectChar">
    <w:name w:val="Comment Subject Char"/>
    <w:basedOn w:val="CommentTextChar"/>
    <w:link w:val="CommentSubject"/>
    <w:uiPriority w:val="99"/>
    <w:semiHidden/>
    <w:rsid w:val="00AA1ED0"/>
    <w:rPr>
      <w:b/>
      <w:bCs/>
      <w:sz w:val="20"/>
      <w:szCs w:val="20"/>
    </w:rPr>
  </w:style>
  <w:style w:type="paragraph" w:styleId="BalloonText">
    <w:name w:val="Balloon Text"/>
    <w:basedOn w:val="Normal"/>
    <w:link w:val="BalloonTextChar"/>
    <w:uiPriority w:val="99"/>
    <w:semiHidden/>
    <w:unhideWhenUsed/>
    <w:rsid w:val="00AA1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ED0"/>
    <w:rPr>
      <w:rFonts w:ascii="Segoe UI" w:hAnsi="Segoe UI" w:cs="Segoe UI"/>
      <w:sz w:val="18"/>
      <w:szCs w:val="18"/>
    </w:rPr>
  </w:style>
  <w:style w:type="character" w:styleId="FootnoteReference">
    <w:name w:val="footnote reference"/>
    <w:uiPriority w:val="99"/>
    <w:unhideWhenUsed/>
    <w:rsid w:val="004E2C5F"/>
    <w:rPr>
      <w:vertAlign w:val="superscript"/>
    </w:rPr>
  </w:style>
  <w:style w:type="paragraph" w:customStyle="1" w:styleId="Default">
    <w:name w:val="Default"/>
    <w:rsid w:val="004E2C5F"/>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EE7C31"/>
    <w:rPr>
      <w:rFonts w:ascii="Arial" w:eastAsia="Arial" w:hAnsi="Arial" w:cs="Arial"/>
      <w:b/>
      <w:color w:val="000000"/>
      <w:lang w:eastAsia="en-GB"/>
    </w:rPr>
  </w:style>
  <w:style w:type="character" w:styleId="FollowedHyperlink">
    <w:name w:val="FollowedHyperlink"/>
    <w:basedOn w:val="DefaultParagraphFont"/>
    <w:uiPriority w:val="99"/>
    <w:semiHidden/>
    <w:unhideWhenUsed/>
    <w:rsid w:val="00495AB5"/>
    <w:rPr>
      <w:color w:val="954F72" w:themeColor="followedHyperlink"/>
      <w:u w:val="single"/>
    </w:rPr>
  </w:style>
  <w:style w:type="paragraph" w:styleId="EnvelopeReturn">
    <w:name w:val="envelope return"/>
    <w:basedOn w:val="Normal"/>
    <w:rsid w:val="008C2F06"/>
    <w:pPr>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rsid w:val="0023528D"/>
    <w:pPr>
      <w:spacing w:after="0" w:line="240" w:lineRule="auto"/>
    </w:pPr>
  </w:style>
  <w:style w:type="paragraph" w:styleId="Header">
    <w:name w:val="header"/>
    <w:basedOn w:val="Normal"/>
    <w:link w:val="HeaderChar"/>
    <w:uiPriority w:val="99"/>
    <w:unhideWhenUsed/>
    <w:rsid w:val="00196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338"/>
  </w:style>
  <w:style w:type="paragraph" w:styleId="Footer">
    <w:name w:val="footer"/>
    <w:basedOn w:val="Normal"/>
    <w:link w:val="FooterChar"/>
    <w:uiPriority w:val="99"/>
    <w:unhideWhenUsed/>
    <w:rsid w:val="00196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277384">
      <w:bodyDiv w:val="1"/>
      <w:marLeft w:val="0"/>
      <w:marRight w:val="0"/>
      <w:marTop w:val="0"/>
      <w:marBottom w:val="0"/>
      <w:divBdr>
        <w:top w:val="none" w:sz="0" w:space="0" w:color="auto"/>
        <w:left w:val="none" w:sz="0" w:space="0" w:color="auto"/>
        <w:bottom w:val="none" w:sz="0" w:space="0" w:color="auto"/>
        <w:right w:val="none" w:sz="0" w:space="0" w:color="auto"/>
      </w:divBdr>
    </w:div>
    <w:div w:id="153688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oecd.org/dac/financing-sustainable-development/development-finance-standards/DAC_List_ODA_Recipients2018to2020_flows_En.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cd.org/dac/financing-sustainable-development/development-finance-standards/DAC_List_ODA_Recipients2018to2020_flows_En.pdf" TargetMode="External"/><Relationship Id="rId17" Type="http://schemas.openxmlformats.org/officeDocument/2006/relationships/hyperlink" Target="mailto:research.initiatives@sussex.ac.uk" TargetMode="External"/><Relationship Id="rId2" Type="http://schemas.openxmlformats.org/officeDocument/2006/relationships/numbering" Target="numbering.xml"/><Relationship Id="rId16" Type="http://schemas.openxmlformats.org/officeDocument/2006/relationships/hyperlink" Target="mailto:D.Foy-Everett@sussex.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sustainabledevelopment/sustainable-development-goals/" TargetMode="External"/><Relationship Id="rId5" Type="http://schemas.openxmlformats.org/officeDocument/2006/relationships/webSettings" Target="webSettings.xml"/><Relationship Id="rId15" Type="http://schemas.openxmlformats.org/officeDocument/2006/relationships/hyperlink" Target="http://www.oecd.org/dac/financing-sustainable-development/development-finance-standards/DAC_List_ODA_Recipients2018to2020_flows_En.pdf" TargetMode="External"/><Relationship Id="rId28" Type="http://schemas.microsoft.com/office/2016/09/relationships/commentsIds" Target="commentsIds.xml"/><Relationship Id="rId10" Type="http://schemas.openxmlformats.org/officeDocument/2006/relationships/hyperlink" Target="http://www.sussex.ac.uk/ssr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kri.org/research/global-challenges-research-fund/" TargetMode="External"/><Relationship Id="rId14" Type="http://schemas.openxmlformats.org/officeDocument/2006/relationships/hyperlink" Target="mailto:research.initiatives@su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5A06C7E-2933-4250-8710-48F4E06B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Foy-Everett</dc:creator>
  <cp:keywords/>
  <dc:description/>
  <cp:lastModifiedBy>debsf</cp:lastModifiedBy>
  <cp:revision>5</cp:revision>
  <cp:lastPrinted>2019-11-20T15:32:00Z</cp:lastPrinted>
  <dcterms:created xsi:type="dcterms:W3CDTF">2019-11-22T12:58:00Z</dcterms:created>
  <dcterms:modified xsi:type="dcterms:W3CDTF">2019-11-22T13:23:00Z</dcterms:modified>
</cp:coreProperties>
</file>