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FED" w:rsidRDefault="009C2FED" w:rsidP="009C2FED">
      <w:pPr>
        <w:spacing w:after="200" w:line="264" w:lineRule="auto"/>
        <w:ind w:right="-421"/>
        <w:jc w:val="both"/>
        <w:rPr>
          <w:rFonts w:eastAsiaTheme="minorHAnsi" w:cs="Arial"/>
          <w:b/>
          <w:bCs/>
          <w:szCs w:val="22"/>
          <w:lang w:val="en-US"/>
        </w:rPr>
      </w:pPr>
      <w:r>
        <w:rPr>
          <w:rFonts w:eastAsiaTheme="minorHAnsi" w:cs="Arial"/>
          <w:b/>
          <w:bCs/>
          <w:szCs w:val="22"/>
          <w:lang w:val="en-US"/>
        </w:rPr>
        <w:t>University of Sussex</w:t>
      </w:r>
    </w:p>
    <w:p w:rsidR="009C2FED" w:rsidRPr="00DB6A94" w:rsidRDefault="009C2FED" w:rsidP="009C2FED">
      <w:pPr>
        <w:spacing w:after="200" w:line="264" w:lineRule="auto"/>
        <w:ind w:right="-421"/>
        <w:jc w:val="both"/>
        <w:rPr>
          <w:rFonts w:eastAsiaTheme="minorHAnsi" w:cs="Arial"/>
          <w:szCs w:val="22"/>
          <w:lang w:val="en-US"/>
        </w:rPr>
      </w:pPr>
      <w:r w:rsidRPr="00DB6A94">
        <w:rPr>
          <w:rFonts w:eastAsiaTheme="minorHAnsi" w:cs="Arial"/>
          <w:b/>
          <w:bCs/>
          <w:szCs w:val="22"/>
          <w:lang w:val="en-US"/>
        </w:rPr>
        <w:t>Information Governance Policy</w:t>
      </w:r>
      <w:r>
        <w:rPr>
          <w:rStyle w:val="FootnoteReference"/>
          <w:rFonts w:eastAsiaTheme="minorHAnsi" w:cs="Arial"/>
          <w:b/>
          <w:bCs/>
          <w:szCs w:val="22"/>
          <w:lang w:val="en-US"/>
        </w:rPr>
        <w:footnoteReference w:id="1"/>
      </w:r>
    </w:p>
    <w:p w:rsidR="009C2FED" w:rsidRPr="00DB6A94" w:rsidRDefault="009C2FED" w:rsidP="009C2FED">
      <w:pPr>
        <w:spacing w:after="200" w:line="264" w:lineRule="auto"/>
        <w:ind w:left="426" w:right="-421" w:hanging="426"/>
        <w:jc w:val="both"/>
        <w:rPr>
          <w:rFonts w:eastAsiaTheme="minorHAnsi" w:cs="Arial"/>
          <w:sz w:val="20"/>
          <w:szCs w:val="20"/>
          <w:lang w:val="en-US"/>
        </w:rPr>
      </w:pPr>
      <w:r w:rsidRPr="00DB6A94">
        <w:rPr>
          <w:rFonts w:eastAsiaTheme="minorHAnsi" w:cs="Arial"/>
          <w:b/>
          <w:bCs/>
          <w:sz w:val="20"/>
          <w:szCs w:val="20"/>
          <w:lang w:val="en-US"/>
        </w:rPr>
        <w:t xml:space="preserve">1. </w:t>
      </w:r>
      <w:r>
        <w:rPr>
          <w:rFonts w:eastAsiaTheme="minorHAnsi" w:cs="Arial"/>
          <w:b/>
          <w:bCs/>
          <w:sz w:val="20"/>
          <w:szCs w:val="20"/>
          <w:lang w:val="en-US"/>
        </w:rPr>
        <w:tab/>
      </w:r>
      <w:r w:rsidRPr="00DB6A94">
        <w:rPr>
          <w:rFonts w:eastAsiaTheme="minorHAnsi" w:cs="Arial"/>
          <w:b/>
          <w:bCs/>
          <w:sz w:val="20"/>
          <w:szCs w:val="20"/>
          <w:lang w:val="en-US"/>
        </w:rPr>
        <w:t xml:space="preserve">Purpose and scope of this policy </w:t>
      </w:r>
    </w:p>
    <w:p w:rsidR="009C2FED" w:rsidRPr="00DB6A94" w:rsidRDefault="009C2FED" w:rsidP="009C2FED">
      <w:pPr>
        <w:spacing w:after="200" w:line="264" w:lineRule="auto"/>
        <w:ind w:left="426" w:right="-421" w:hanging="426"/>
        <w:jc w:val="both"/>
        <w:rPr>
          <w:rFonts w:eastAsiaTheme="minorHAnsi" w:cs="Arial"/>
          <w:sz w:val="20"/>
          <w:szCs w:val="20"/>
          <w:lang w:val="en-US"/>
        </w:rPr>
      </w:pPr>
      <w:r w:rsidRPr="00DB6A94">
        <w:rPr>
          <w:rFonts w:eastAsiaTheme="minorHAnsi" w:cs="Arial"/>
          <w:sz w:val="20"/>
          <w:szCs w:val="20"/>
          <w:lang w:val="en-US"/>
        </w:rPr>
        <w:t xml:space="preserve">1.1  </w:t>
      </w:r>
      <w:r>
        <w:rPr>
          <w:rFonts w:eastAsiaTheme="minorHAnsi" w:cs="Arial"/>
          <w:sz w:val="20"/>
          <w:szCs w:val="20"/>
          <w:lang w:val="en-US"/>
        </w:rPr>
        <w:tab/>
      </w:r>
      <w:r w:rsidRPr="00DB6A94">
        <w:rPr>
          <w:rFonts w:eastAsiaTheme="minorHAnsi" w:cs="Arial"/>
          <w:sz w:val="20"/>
          <w:szCs w:val="20"/>
          <w:lang w:val="en-US"/>
        </w:rPr>
        <w:t>The purpose of this policy is to set out the principles by which the University seeks, in its approach to managing its records and information, to ensure compliance with the Data Protection Act (DPA) 1998 and the Freedom of Information Act (</w:t>
      </w:r>
      <w:proofErr w:type="spellStart"/>
      <w:r w:rsidRPr="00DB6A94">
        <w:rPr>
          <w:rFonts w:eastAsiaTheme="minorHAnsi" w:cs="Arial"/>
          <w:sz w:val="20"/>
          <w:szCs w:val="20"/>
          <w:lang w:val="en-US"/>
        </w:rPr>
        <w:t>FoIA</w:t>
      </w:r>
      <w:proofErr w:type="spellEnd"/>
      <w:r w:rsidRPr="00DB6A94">
        <w:rPr>
          <w:rFonts w:eastAsiaTheme="minorHAnsi" w:cs="Arial"/>
          <w:sz w:val="20"/>
          <w:szCs w:val="20"/>
          <w:lang w:val="en-US"/>
        </w:rPr>
        <w:t xml:space="preserve">) 2000.  </w:t>
      </w:r>
    </w:p>
    <w:p w:rsidR="009C2FED" w:rsidRPr="00DB6A94" w:rsidRDefault="009C2FED" w:rsidP="009C2FED">
      <w:pPr>
        <w:spacing w:before="252" w:after="200" w:line="264" w:lineRule="auto"/>
        <w:ind w:left="426" w:right="-421" w:hanging="426"/>
        <w:jc w:val="both"/>
        <w:rPr>
          <w:rFonts w:eastAsiaTheme="minorHAnsi" w:cs="Arial"/>
          <w:sz w:val="20"/>
          <w:szCs w:val="20"/>
          <w:lang w:val="en-US"/>
        </w:rPr>
      </w:pPr>
      <w:r w:rsidRPr="00DB6A94">
        <w:rPr>
          <w:rFonts w:eastAsiaTheme="minorHAnsi" w:cs="Arial"/>
          <w:sz w:val="20"/>
          <w:szCs w:val="20"/>
          <w:lang w:val="en-US"/>
        </w:rPr>
        <w:t xml:space="preserve">1.2  </w:t>
      </w:r>
      <w:r>
        <w:rPr>
          <w:rFonts w:eastAsiaTheme="minorHAnsi" w:cs="Arial"/>
          <w:sz w:val="20"/>
          <w:szCs w:val="20"/>
          <w:lang w:val="en-US"/>
        </w:rPr>
        <w:tab/>
      </w:r>
      <w:r w:rsidRPr="00DB6A94">
        <w:rPr>
          <w:rFonts w:eastAsiaTheme="minorHAnsi" w:cs="Arial"/>
          <w:sz w:val="20"/>
          <w:szCs w:val="20"/>
          <w:lang w:val="en-US"/>
        </w:rPr>
        <w:t xml:space="preserve">This policy applies to all University staff, including students while they are working for the University, and to others associated with the University in a formal but unpaid capacity.  It has been written to acquaint staff with their roles and responsibilities, and to set out the standards expected by the University in relation to information governance.  </w:t>
      </w:r>
    </w:p>
    <w:p w:rsidR="009C2FED" w:rsidRPr="00DB6A94" w:rsidRDefault="009C2FED" w:rsidP="009C2FED">
      <w:pPr>
        <w:spacing w:after="200" w:line="264" w:lineRule="auto"/>
        <w:ind w:left="426" w:right="-421" w:hanging="426"/>
        <w:jc w:val="both"/>
        <w:rPr>
          <w:rFonts w:eastAsiaTheme="minorHAnsi" w:cs="Arial"/>
          <w:sz w:val="20"/>
          <w:szCs w:val="20"/>
          <w:u w:val="single"/>
          <w:lang w:val="en-US"/>
        </w:rPr>
      </w:pPr>
      <w:r w:rsidRPr="00DB6A94">
        <w:rPr>
          <w:rFonts w:eastAsiaTheme="minorHAnsi" w:cs="Arial"/>
          <w:sz w:val="20"/>
          <w:szCs w:val="20"/>
          <w:lang w:val="en-US"/>
        </w:rPr>
        <w:t xml:space="preserve">1.3  </w:t>
      </w:r>
      <w:r>
        <w:rPr>
          <w:rFonts w:eastAsiaTheme="minorHAnsi" w:cs="Arial"/>
          <w:sz w:val="20"/>
          <w:szCs w:val="20"/>
          <w:lang w:val="en-US"/>
        </w:rPr>
        <w:tab/>
      </w:r>
      <w:r w:rsidRPr="00DB6A94">
        <w:rPr>
          <w:rFonts w:eastAsiaTheme="minorHAnsi" w:cs="Arial"/>
          <w:sz w:val="20"/>
          <w:szCs w:val="20"/>
          <w:lang w:val="en-US"/>
        </w:rPr>
        <w:t>The aim of this document is to create an over-arching policy framework, and to signpost the reader to further specific information and guidance.</w:t>
      </w:r>
    </w:p>
    <w:p w:rsidR="009C2FED" w:rsidRPr="00DB6A94" w:rsidRDefault="009C2FED" w:rsidP="009C2FED">
      <w:pPr>
        <w:spacing w:after="200" w:line="264" w:lineRule="auto"/>
        <w:ind w:left="426" w:right="-421" w:hanging="426"/>
        <w:jc w:val="both"/>
        <w:rPr>
          <w:rFonts w:eastAsiaTheme="minorHAnsi" w:cs="Arial"/>
          <w:sz w:val="20"/>
          <w:szCs w:val="20"/>
          <w:lang w:val="en-US"/>
        </w:rPr>
      </w:pPr>
      <w:r w:rsidRPr="00DB6A94">
        <w:rPr>
          <w:rFonts w:eastAsiaTheme="minorHAnsi" w:cs="Arial"/>
          <w:b/>
          <w:bCs/>
          <w:sz w:val="20"/>
          <w:szCs w:val="20"/>
          <w:lang w:val="en-US"/>
        </w:rPr>
        <w:t xml:space="preserve">2. </w:t>
      </w:r>
      <w:r>
        <w:rPr>
          <w:rFonts w:eastAsiaTheme="minorHAnsi" w:cs="Arial"/>
          <w:b/>
          <w:bCs/>
          <w:sz w:val="20"/>
          <w:szCs w:val="20"/>
          <w:lang w:val="en-US"/>
        </w:rPr>
        <w:tab/>
      </w:r>
      <w:r w:rsidRPr="00DB6A94">
        <w:rPr>
          <w:rFonts w:eastAsiaTheme="minorHAnsi" w:cs="Arial"/>
          <w:b/>
          <w:bCs/>
          <w:sz w:val="20"/>
          <w:szCs w:val="20"/>
          <w:lang w:val="en-US"/>
        </w:rPr>
        <w:t xml:space="preserve">Roles and Responsibilities </w:t>
      </w:r>
    </w:p>
    <w:p w:rsidR="009C2FED" w:rsidRPr="00DB6A94" w:rsidRDefault="009C2FED" w:rsidP="009C2FED">
      <w:pPr>
        <w:spacing w:after="200" w:line="264" w:lineRule="auto"/>
        <w:ind w:left="426" w:right="-421" w:hanging="426"/>
        <w:jc w:val="both"/>
        <w:rPr>
          <w:rFonts w:eastAsiaTheme="minorHAnsi" w:cs="Arial"/>
          <w:sz w:val="20"/>
          <w:szCs w:val="20"/>
          <w:lang w:val="en-US"/>
        </w:rPr>
      </w:pPr>
      <w:r w:rsidRPr="00DB6A94">
        <w:rPr>
          <w:rFonts w:eastAsiaTheme="minorHAnsi" w:cs="Arial"/>
          <w:sz w:val="20"/>
          <w:szCs w:val="20"/>
          <w:lang w:val="en-US"/>
        </w:rPr>
        <w:t xml:space="preserve">2.1  </w:t>
      </w:r>
      <w:r>
        <w:rPr>
          <w:rFonts w:eastAsiaTheme="minorHAnsi" w:cs="Arial"/>
          <w:sz w:val="20"/>
          <w:szCs w:val="20"/>
          <w:lang w:val="en-US"/>
        </w:rPr>
        <w:tab/>
      </w:r>
      <w:r w:rsidRPr="00DB6A94">
        <w:rPr>
          <w:rFonts w:eastAsiaTheme="minorHAnsi" w:cs="Arial"/>
          <w:sz w:val="20"/>
          <w:szCs w:val="20"/>
          <w:lang w:val="en-US"/>
        </w:rPr>
        <w:t>The University has a responsibility to maintain its records and records management systems in accordance with the legal and regulatory environment. All records created, received or maintained in the course of University business are held by the institution as a single legal entity and on that basis are subject to relevant legislation, this policy and other related subsidiary University policies, including:</w:t>
      </w:r>
    </w:p>
    <w:p w:rsidR="009C2FED" w:rsidRPr="00DB6A94" w:rsidRDefault="009C2FED" w:rsidP="009C2FED">
      <w:pPr>
        <w:numPr>
          <w:ilvl w:val="0"/>
          <w:numId w:val="2"/>
        </w:numPr>
        <w:spacing w:after="200" w:line="264" w:lineRule="auto"/>
        <w:ind w:left="709" w:right="-421" w:hanging="283"/>
        <w:contextualSpacing/>
        <w:jc w:val="both"/>
        <w:rPr>
          <w:rFonts w:eastAsiaTheme="minorHAnsi" w:cs="Arial"/>
          <w:sz w:val="20"/>
          <w:szCs w:val="20"/>
          <w:lang w:val="en-US"/>
        </w:rPr>
      </w:pPr>
      <w:r w:rsidRPr="00DB6A94">
        <w:rPr>
          <w:rFonts w:eastAsiaTheme="minorHAnsi" w:cs="Arial"/>
          <w:i/>
          <w:sz w:val="20"/>
          <w:szCs w:val="20"/>
          <w:lang w:val="en-US"/>
        </w:rPr>
        <w:t>Records Management Policy</w:t>
      </w:r>
      <w:r w:rsidRPr="00DB6A94">
        <w:rPr>
          <w:rFonts w:eastAsiaTheme="minorHAnsi" w:cs="Arial"/>
          <w:sz w:val="20"/>
          <w:szCs w:val="20"/>
          <w:lang w:val="en-US"/>
        </w:rPr>
        <w:t xml:space="preserve"> and </w:t>
      </w:r>
      <w:r w:rsidRPr="00DB6A94">
        <w:rPr>
          <w:rFonts w:eastAsiaTheme="minorHAnsi" w:cs="Arial"/>
          <w:i/>
          <w:sz w:val="20"/>
          <w:szCs w:val="20"/>
          <w:lang w:val="en-US"/>
        </w:rPr>
        <w:t>Master Records Retention Schedule</w:t>
      </w:r>
      <w:r w:rsidRPr="00DB6A94">
        <w:rPr>
          <w:rFonts w:eastAsiaTheme="minorHAnsi" w:cs="Arial"/>
          <w:sz w:val="20"/>
          <w:szCs w:val="20"/>
          <w:lang w:val="en-US"/>
        </w:rPr>
        <w:t xml:space="preserve"> (</w:t>
      </w:r>
      <w:hyperlink r:id="rId9" w:history="1">
        <w:r w:rsidRPr="00DB6A94">
          <w:rPr>
            <w:rFonts w:eastAsiaTheme="minorHAnsi" w:cs="Arial"/>
            <w:color w:val="0000FF" w:themeColor="hyperlink"/>
            <w:sz w:val="20"/>
            <w:u w:val="single"/>
            <w:lang w:val="en-US"/>
          </w:rPr>
          <w:t>http://www.sussex.ac.uk/ogs/governance/recordsmanagement/recordsmanagementguidance</w:t>
        </w:r>
      </w:hyperlink>
      <w:r w:rsidRPr="00DB6A94">
        <w:rPr>
          <w:rFonts w:eastAsiaTheme="minorHAnsi" w:cs="Arial"/>
          <w:sz w:val="20"/>
          <w:szCs w:val="20"/>
          <w:lang w:val="en-US"/>
        </w:rPr>
        <w:t>)</w:t>
      </w:r>
    </w:p>
    <w:p w:rsidR="009C2FED" w:rsidRPr="00DB6A94" w:rsidRDefault="009C2FED" w:rsidP="009C2FED">
      <w:pPr>
        <w:spacing w:after="200" w:line="264" w:lineRule="auto"/>
        <w:ind w:left="709" w:right="-421" w:hanging="283"/>
        <w:contextualSpacing/>
        <w:jc w:val="both"/>
        <w:rPr>
          <w:rFonts w:eastAsiaTheme="minorHAnsi" w:cs="Arial"/>
          <w:sz w:val="16"/>
          <w:szCs w:val="16"/>
          <w:lang w:val="en-US"/>
        </w:rPr>
      </w:pPr>
    </w:p>
    <w:p w:rsidR="009C2FED" w:rsidRDefault="009C2FED" w:rsidP="009C2FED">
      <w:pPr>
        <w:numPr>
          <w:ilvl w:val="0"/>
          <w:numId w:val="2"/>
        </w:numPr>
        <w:spacing w:after="200" w:line="264" w:lineRule="auto"/>
        <w:ind w:left="709" w:right="-421" w:hanging="283"/>
        <w:contextualSpacing/>
        <w:jc w:val="both"/>
        <w:rPr>
          <w:rFonts w:eastAsiaTheme="minorHAnsi" w:cs="Arial"/>
          <w:sz w:val="20"/>
          <w:szCs w:val="20"/>
          <w:lang w:val="en-US"/>
        </w:rPr>
      </w:pPr>
      <w:r w:rsidRPr="00DB6A94">
        <w:rPr>
          <w:rFonts w:eastAsiaTheme="minorHAnsi" w:cs="Arial"/>
          <w:i/>
          <w:sz w:val="20"/>
          <w:szCs w:val="20"/>
          <w:lang w:val="en-US"/>
        </w:rPr>
        <w:t>Information Security and Handling policies</w:t>
      </w:r>
      <w:r w:rsidRPr="00DB6A94">
        <w:rPr>
          <w:rFonts w:eastAsiaTheme="minorHAnsi" w:cs="Arial"/>
          <w:sz w:val="20"/>
          <w:szCs w:val="20"/>
          <w:lang w:val="en-US"/>
        </w:rPr>
        <w:t xml:space="preserve"> (</w:t>
      </w:r>
      <w:hyperlink r:id="rId10" w:history="1">
        <w:r w:rsidRPr="00DB6A94">
          <w:rPr>
            <w:rFonts w:eastAsiaTheme="minorHAnsi" w:cs="Arial"/>
            <w:color w:val="0000FF" w:themeColor="hyperlink"/>
            <w:sz w:val="20"/>
            <w:u w:val="single"/>
            <w:lang w:val="en-US"/>
          </w:rPr>
          <w:t>http://www.sussex.ac.uk/infosec/policies</w:t>
        </w:r>
      </w:hyperlink>
      <w:r w:rsidRPr="00DB6A94">
        <w:rPr>
          <w:rFonts w:eastAsiaTheme="minorHAnsi" w:cs="Arial"/>
          <w:sz w:val="20"/>
          <w:szCs w:val="20"/>
          <w:lang w:val="en-US"/>
        </w:rPr>
        <w:t>)</w:t>
      </w:r>
    </w:p>
    <w:p w:rsidR="009C2FED" w:rsidRPr="00DB6A94" w:rsidRDefault="009C2FED" w:rsidP="009C2FED">
      <w:pPr>
        <w:spacing w:after="200" w:line="264" w:lineRule="auto"/>
        <w:ind w:left="426" w:right="-421"/>
        <w:contextualSpacing/>
        <w:jc w:val="both"/>
        <w:rPr>
          <w:rFonts w:eastAsiaTheme="minorHAnsi" w:cs="Arial"/>
          <w:sz w:val="20"/>
          <w:szCs w:val="20"/>
          <w:lang w:val="en-US"/>
        </w:rPr>
      </w:pPr>
    </w:p>
    <w:p w:rsidR="009C2FED" w:rsidRPr="00DB6A94" w:rsidRDefault="009C2FED" w:rsidP="009C2FED">
      <w:pPr>
        <w:spacing w:after="200" w:line="264" w:lineRule="auto"/>
        <w:ind w:left="426" w:right="-421" w:hanging="426"/>
        <w:jc w:val="both"/>
        <w:rPr>
          <w:rFonts w:eastAsiaTheme="minorHAnsi" w:cs="Arial"/>
          <w:sz w:val="20"/>
          <w:szCs w:val="20"/>
          <w:lang w:val="en-US"/>
        </w:rPr>
      </w:pPr>
      <w:r w:rsidRPr="00DB6A94">
        <w:rPr>
          <w:rFonts w:eastAsiaTheme="minorHAnsi" w:cs="Arial"/>
          <w:sz w:val="20"/>
          <w:szCs w:val="20"/>
          <w:lang w:val="en-US"/>
        </w:rPr>
        <w:t xml:space="preserve">2.2  </w:t>
      </w:r>
      <w:r>
        <w:rPr>
          <w:rFonts w:eastAsiaTheme="minorHAnsi" w:cs="Arial"/>
          <w:sz w:val="20"/>
          <w:szCs w:val="20"/>
          <w:lang w:val="en-US"/>
        </w:rPr>
        <w:tab/>
      </w:r>
      <w:r w:rsidRPr="00DB6A94">
        <w:rPr>
          <w:rFonts w:eastAsiaTheme="minorHAnsi" w:cs="Arial"/>
          <w:sz w:val="20"/>
          <w:szCs w:val="20"/>
          <w:lang w:val="en-US"/>
        </w:rPr>
        <w:t xml:space="preserve">Individuals and their line managers are responsible for records that they create and maintain (including disposal) in line with legislative requirements and University policy, and senior managers are required to confirm that their staff are working in compliant ways. </w:t>
      </w:r>
    </w:p>
    <w:p w:rsidR="009C2FED" w:rsidRPr="00DB6A94" w:rsidRDefault="009C2FED" w:rsidP="009C2FED">
      <w:pPr>
        <w:spacing w:after="200" w:line="264" w:lineRule="auto"/>
        <w:ind w:left="426" w:right="-421" w:hanging="426"/>
        <w:jc w:val="both"/>
        <w:rPr>
          <w:rFonts w:eastAsiaTheme="minorHAnsi" w:cs="Arial"/>
          <w:sz w:val="20"/>
          <w:szCs w:val="20"/>
          <w:lang w:val="en-US"/>
        </w:rPr>
      </w:pPr>
      <w:r w:rsidRPr="00DB6A94">
        <w:rPr>
          <w:rFonts w:eastAsiaTheme="minorHAnsi" w:cs="Arial"/>
          <w:sz w:val="20"/>
          <w:szCs w:val="20"/>
          <w:lang w:val="en-US"/>
        </w:rPr>
        <w:t xml:space="preserve">2.3  </w:t>
      </w:r>
      <w:r>
        <w:rPr>
          <w:rFonts w:eastAsiaTheme="minorHAnsi" w:cs="Arial"/>
          <w:sz w:val="20"/>
          <w:szCs w:val="20"/>
          <w:lang w:val="en-US"/>
        </w:rPr>
        <w:tab/>
      </w:r>
      <w:r w:rsidRPr="00DB6A94">
        <w:rPr>
          <w:rFonts w:eastAsiaTheme="minorHAnsi" w:cs="Arial"/>
          <w:sz w:val="20"/>
          <w:szCs w:val="20"/>
          <w:lang w:val="en-US"/>
        </w:rPr>
        <w:t xml:space="preserve">The Office of Governance &amp; Secretariat (OGS) is responsible for publishing advice, guidance, procedures and training relating to information governance legislation (including records management) and leads on the coordination and monitoring of compliance across the University. </w:t>
      </w:r>
    </w:p>
    <w:p w:rsidR="009C2FED" w:rsidRPr="00DB6A94" w:rsidRDefault="009C2FED" w:rsidP="009C2FED">
      <w:pPr>
        <w:spacing w:after="200" w:line="264" w:lineRule="auto"/>
        <w:ind w:left="426" w:right="-421" w:hanging="426"/>
        <w:jc w:val="both"/>
        <w:rPr>
          <w:rFonts w:eastAsiaTheme="minorHAnsi" w:cs="Arial"/>
          <w:sz w:val="20"/>
          <w:szCs w:val="20"/>
          <w:lang w:val="en-US"/>
        </w:rPr>
      </w:pPr>
      <w:r w:rsidRPr="00DB6A94">
        <w:rPr>
          <w:rFonts w:eastAsiaTheme="minorHAnsi" w:cs="Arial"/>
          <w:sz w:val="20"/>
          <w:szCs w:val="20"/>
          <w:lang w:val="en-US"/>
        </w:rPr>
        <w:t xml:space="preserve">2.4 </w:t>
      </w:r>
      <w:r>
        <w:rPr>
          <w:rFonts w:eastAsiaTheme="minorHAnsi" w:cs="Arial"/>
          <w:sz w:val="20"/>
          <w:szCs w:val="20"/>
          <w:lang w:val="en-US"/>
        </w:rPr>
        <w:tab/>
      </w:r>
      <w:r w:rsidRPr="00DB6A94">
        <w:rPr>
          <w:rFonts w:eastAsiaTheme="minorHAnsi" w:cs="Arial"/>
          <w:sz w:val="20"/>
          <w:szCs w:val="20"/>
          <w:lang w:val="en-US"/>
        </w:rPr>
        <w:t xml:space="preserve"> Designated staff within academic and professional service units are responsible for promoting good records management practices in their area, supporting compliance with information governance legislation locally (including monitoring) and liaising with OGS. </w:t>
      </w:r>
    </w:p>
    <w:p w:rsidR="009C2FED" w:rsidRPr="00DB6A94" w:rsidRDefault="009C2FED" w:rsidP="009C2FED">
      <w:pPr>
        <w:spacing w:after="200" w:line="264" w:lineRule="auto"/>
        <w:ind w:left="426" w:right="-421" w:hanging="426"/>
        <w:jc w:val="both"/>
        <w:rPr>
          <w:rFonts w:eastAsiaTheme="minorHAnsi" w:cs="Arial"/>
          <w:sz w:val="20"/>
          <w:szCs w:val="20"/>
          <w:lang w:val="en-US"/>
        </w:rPr>
      </w:pPr>
      <w:r w:rsidRPr="00DB6A94">
        <w:rPr>
          <w:rFonts w:eastAsiaTheme="minorHAnsi" w:cs="Arial"/>
          <w:sz w:val="20"/>
          <w:szCs w:val="20"/>
          <w:lang w:val="en-US"/>
        </w:rPr>
        <w:t xml:space="preserve">2.5  </w:t>
      </w:r>
      <w:r>
        <w:rPr>
          <w:rFonts w:eastAsiaTheme="minorHAnsi" w:cs="Arial"/>
          <w:sz w:val="20"/>
          <w:szCs w:val="20"/>
          <w:lang w:val="en-US"/>
        </w:rPr>
        <w:tab/>
      </w:r>
      <w:r w:rsidRPr="00DB6A94">
        <w:rPr>
          <w:rFonts w:eastAsiaTheme="minorHAnsi" w:cs="Arial"/>
          <w:sz w:val="20"/>
          <w:szCs w:val="20"/>
          <w:lang w:val="en-US"/>
        </w:rPr>
        <w:t>Employees of the University are expected to:</w:t>
      </w:r>
    </w:p>
    <w:p w:rsidR="009C2FED" w:rsidRPr="00DB6A94" w:rsidRDefault="009C2FED" w:rsidP="009C2FED">
      <w:pPr>
        <w:numPr>
          <w:ilvl w:val="0"/>
          <w:numId w:val="1"/>
        </w:numPr>
        <w:spacing w:after="200" w:line="264" w:lineRule="auto"/>
        <w:ind w:right="-421" w:hanging="294"/>
        <w:contextualSpacing/>
        <w:jc w:val="both"/>
        <w:rPr>
          <w:rFonts w:eastAsiaTheme="minorHAnsi" w:cs="Arial"/>
          <w:sz w:val="20"/>
          <w:szCs w:val="20"/>
          <w:lang w:val="en-US"/>
        </w:rPr>
      </w:pPr>
      <w:r w:rsidRPr="00DB6A94">
        <w:rPr>
          <w:rFonts w:eastAsiaTheme="minorHAnsi" w:cs="Arial"/>
          <w:sz w:val="20"/>
          <w:szCs w:val="20"/>
          <w:lang w:val="en-US"/>
        </w:rPr>
        <w:t>read and understand this policy document;</w:t>
      </w:r>
    </w:p>
    <w:p w:rsidR="009C2FED" w:rsidRPr="00DB6A94" w:rsidRDefault="009C2FED" w:rsidP="009C2FED">
      <w:pPr>
        <w:numPr>
          <w:ilvl w:val="0"/>
          <w:numId w:val="1"/>
        </w:numPr>
        <w:spacing w:after="200" w:line="264" w:lineRule="auto"/>
        <w:ind w:right="-421" w:hanging="294"/>
        <w:contextualSpacing/>
        <w:jc w:val="both"/>
        <w:rPr>
          <w:rFonts w:eastAsiaTheme="minorHAnsi" w:cs="Arial"/>
          <w:sz w:val="20"/>
          <w:szCs w:val="20"/>
          <w:lang w:val="en-US"/>
        </w:rPr>
      </w:pPr>
      <w:r w:rsidRPr="00DB6A94">
        <w:rPr>
          <w:rFonts w:eastAsiaTheme="minorHAnsi" w:cs="Arial"/>
          <w:sz w:val="20"/>
          <w:szCs w:val="20"/>
          <w:lang w:val="en-US"/>
        </w:rPr>
        <w:t>acquaint themselves with, and abide by, the principles of the Data Protection Act, and the Freedom of Information Act, as set out in this policy;</w:t>
      </w:r>
    </w:p>
    <w:p w:rsidR="009C2FED" w:rsidRPr="00DB6A94" w:rsidRDefault="009C2FED" w:rsidP="009C2FED">
      <w:pPr>
        <w:numPr>
          <w:ilvl w:val="0"/>
          <w:numId w:val="1"/>
        </w:numPr>
        <w:spacing w:after="200" w:line="264" w:lineRule="auto"/>
        <w:ind w:right="-421" w:hanging="294"/>
        <w:contextualSpacing/>
        <w:jc w:val="both"/>
        <w:rPr>
          <w:rFonts w:eastAsiaTheme="minorHAnsi" w:cs="Arial"/>
          <w:sz w:val="20"/>
          <w:szCs w:val="20"/>
          <w:lang w:val="en-US"/>
        </w:rPr>
      </w:pPr>
      <w:r w:rsidRPr="00DB6A94">
        <w:rPr>
          <w:rFonts w:eastAsiaTheme="minorHAnsi" w:cs="Arial"/>
          <w:sz w:val="20"/>
          <w:szCs w:val="20"/>
          <w:lang w:val="en-US"/>
        </w:rPr>
        <w:t>contact the Records Management section of the OGS to seek guidance if in any doubt about the proper way to proceed in t</w:t>
      </w:r>
      <w:r>
        <w:rPr>
          <w:rFonts w:eastAsiaTheme="minorHAnsi" w:cs="Arial"/>
          <w:sz w:val="20"/>
          <w:szCs w:val="20"/>
          <w:lang w:val="en-US"/>
        </w:rPr>
        <w:t>he areas covered by this policy;</w:t>
      </w:r>
    </w:p>
    <w:p w:rsidR="009C2FED" w:rsidRPr="00CC73C1" w:rsidRDefault="009C2FED" w:rsidP="009C2FED">
      <w:pPr>
        <w:numPr>
          <w:ilvl w:val="0"/>
          <w:numId w:val="1"/>
        </w:numPr>
        <w:spacing w:after="200" w:line="264" w:lineRule="auto"/>
        <w:ind w:right="-421" w:hanging="294"/>
        <w:contextualSpacing/>
        <w:jc w:val="both"/>
        <w:rPr>
          <w:rFonts w:eastAsiaTheme="minorHAnsi" w:cs="Arial"/>
          <w:sz w:val="20"/>
          <w:szCs w:val="20"/>
          <w:lang w:val="en-US"/>
        </w:rPr>
      </w:pPr>
      <w:r w:rsidRPr="00DB6A94">
        <w:rPr>
          <w:rFonts w:eastAsiaTheme="minorHAnsi" w:cs="Arial"/>
          <w:sz w:val="20"/>
          <w:szCs w:val="20"/>
          <w:lang w:val="en-US"/>
        </w:rPr>
        <w:t xml:space="preserve">give full and urgent cooperation when asked by an authorized officer to assist in assembling information required to compile a response </w:t>
      </w:r>
      <w:r>
        <w:rPr>
          <w:rFonts w:eastAsiaTheme="minorHAnsi" w:cs="Arial"/>
          <w:sz w:val="20"/>
          <w:szCs w:val="20"/>
          <w:lang w:val="en-US"/>
        </w:rPr>
        <w:t xml:space="preserve">to either a DPA or </w:t>
      </w:r>
      <w:proofErr w:type="spellStart"/>
      <w:r>
        <w:rPr>
          <w:rFonts w:eastAsiaTheme="minorHAnsi" w:cs="Arial"/>
          <w:sz w:val="20"/>
          <w:szCs w:val="20"/>
          <w:lang w:val="en-US"/>
        </w:rPr>
        <w:t>FoIA</w:t>
      </w:r>
      <w:proofErr w:type="spellEnd"/>
      <w:r>
        <w:rPr>
          <w:rFonts w:eastAsiaTheme="minorHAnsi" w:cs="Arial"/>
          <w:sz w:val="20"/>
          <w:szCs w:val="20"/>
          <w:lang w:val="en-US"/>
        </w:rPr>
        <w:t xml:space="preserve"> request</w:t>
      </w:r>
      <w:r w:rsidRPr="00CC73C1">
        <w:rPr>
          <w:rFonts w:eastAsiaTheme="minorHAnsi" w:cs="Arial"/>
          <w:sz w:val="20"/>
          <w:szCs w:val="20"/>
          <w:lang w:val="en-US"/>
        </w:rPr>
        <w:t xml:space="preserve">. </w:t>
      </w:r>
    </w:p>
    <w:p w:rsidR="009C2FED" w:rsidRDefault="009C2FED" w:rsidP="009C2FED">
      <w:pPr>
        <w:spacing w:after="200" w:line="264" w:lineRule="auto"/>
        <w:ind w:right="-421"/>
        <w:jc w:val="both"/>
        <w:rPr>
          <w:rFonts w:eastAsiaTheme="minorHAnsi" w:cs="Arial"/>
          <w:b/>
          <w:bCs/>
          <w:sz w:val="20"/>
          <w:szCs w:val="20"/>
          <w:lang w:val="en-US"/>
        </w:rPr>
      </w:pPr>
    </w:p>
    <w:p w:rsidR="009C2FED" w:rsidRPr="00DB6A94" w:rsidRDefault="009C2FED" w:rsidP="009C2FED">
      <w:pPr>
        <w:spacing w:after="200" w:line="264" w:lineRule="auto"/>
        <w:ind w:left="426" w:right="-421" w:hanging="426"/>
        <w:jc w:val="both"/>
        <w:rPr>
          <w:rFonts w:eastAsiaTheme="minorHAnsi" w:cs="Arial"/>
          <w:sz w:val="20"/>
          <w:szCs w:val="20"/>
          <w:lang w:val="en-US"/>
        </w:rPr>
      </w:pPr>
      <w:r w:rsidRPr="00DB6A94">
        <w:rPr>
          <w:rFonts w:eastAsiaTheme="minorHAnsi" w:cs="Arial"/>
          <w:b/>
          <w:bCs/>
          <w:sz w:val="20"/>
          <w:szCs w:val="20"/>
          <w:lang w:val="en-US"/>
        </w:rPr>
        <w:lastRenderedPageBreak/>
        <w:t xml:space="preserve">3. </w:t>
      </w:r>
      <w:r>
        <w:rPr>
          <w:rFonts w:eastAsiaTheme="minorHAnsi" w:cs="Arial"/>
          <w:b/>
          <w:bCs/>
          <w:sz w:val="20"/>
          <w:szCs w:val="20"/>
          <w:lang w:val="en-US"/>
        </w:rPr>
        <w:tab/>
      </w:r>
      <w:r w:rsidRPr="00DB6A94">
        <w:rPr>
          <w:rFonts w:eastAsiaTheme="minorHAnsi" w:cs="Arial"/>
          <w:b/>
          <w:bCs/>
          <w:sz w:val="20"/>
          <w:szCs w:val="20"/>
          <w:lang w:val="en-US"/>
        </w:rPr>
        <w:t xml:space="preserve">Data Protection Act 1998 </w:t>
      </w:r>
      <w:r>
        <w:rPr>
          <w:rFonts w:eastAsiaTheme="minorHAnsi" w:cs="Arial"/>
          <w:b/>
          <w:bCs/>
          <w:sz w:val="20"/>
          <w:szCs w:val="20"/>
          <w:lang w:val="en-US"/>
        </w:rPr>
        <w:t>(DPA)</w:t>
      </w:r>
    </w:p>
    <w:p w:rsidR="009C2FED" w:rsidRPr="00DB6A94" w:rsidRDefault="009C2FED" w:rsidP="009C2FED">
      <w:pPr>
        <w:spacing w:after="200" w:line="264" w:lineRule="auto"/>
        <w:ind w:left="426" w:right="-421" w:hanging="426"/>
        <w:jc w:val="both"/>
        <w:rPr>
          <w:rFonts w:eastAsiaTheme="minorHAnsi" w:cs="Arial"/>
          <w:sz w:val="20"/>
          <w:szCs w:val="20"/>
          <w:lang w:val="en-US"/>
        </w:rPr>
      </w:pPr>
      <w:r w:rsidRPr="00DB6A94">
        <w:rPr>
          <w:rFonts w:eastAsiaTheme="minorHAnsi" w:cs="Arial"/>
          <w:sz w:val="20"/>
          <w:szCs w:val="20"/>
          <w:lang w:val="en-US"/>
        </w:rPr>
        <w:t xml:space="preserve">3.1  </w:t>
      </w:r>
      <w:r>
        <w:rPr>
          <w:rFonts w:eastAsiaTheme="minorHAnsi" w:cs="Arial"/>
          <w:sz w:val="20"/>
          <w:szCs w:val="20"/>
          <w:lang w:val="en-US"/>
        </w:rPr>
        <w:tab/>
      </w:r>
      <w:r w:rsidRPr="00DB6A94">
        <w:rPr>
          <w:rFonts w:eastAsiaTheme="minorHAnsi" w:cs="Arial"/>
          <w:sz w:val="20"/>
          <w:szCs w:val="20"/>
          <w:lang w:val="en-US"/>
        </w:rPr>
        <w:t xml:space="preserve">Personal data should be treated in accordance with the eight principles of the DPA, i.e. it must be: </w:t>
      </w:r>
    </w:p>
    <w:p w:rsidR="009C2FED" w:rsidRPr="00DB6A94" w:rsidRDefault="009C2FED" w:rsidP="009C2FED">
      <w:pPr>
        <w:spacing w:line="264" w:lineRule="auto"/>
        <w:ind w:left="426" w:right="-421" w:hanging="426"/>
        <w:jc w:val="both"/>
        <w:rPr>
          <w:rFonts w:eastAsiaTheme="minorHAnsi" w:cs="Arial"/>
          <w:sz w:val="20"/>
          <w:szCs w:val="20"/>
          <w:lang w:val="en-US"/>
        </w:rPr>
      </w:pPr>
      <w:r w:rsidRPr="00DB6A94">
        <w:rPr>
          <w:rFonts w:eastAsiaTheme="minorHAnsi" w:cs="Arial"/>
          <w:sz w:val="20"/>
          <w:szCs w:val="20"/>
          <w:lang w:val="en-US"/>
        </w:rPr>
        <w:t xml:space="preserve">I. </w:t>
      </w:r>
      <w:r w:rsidRPr="00DB6A94">
        <w:rPr>
          <w:rFonts w:eastAsiaTheme="minorHAnsi" w:cs="Arial"/>
          <w:sz w:val="20"/>
          <w:szCs w:val="20"/>
          <w:lang w:val="en-US"/>
        </w:rPr>
        <w:tab/>
        <w:t xml:space="preserve">Processed fairly and lawfully; </w:t>
      </w:r>
    </w:p>
    <w:p w:rsidR="009C2FED" w:rsidRPr="00C63679" w:rsidRDefault="009C2FED" w:rsidP="009C2FED">
      <w:pPr>
        <w:spacing w:line="264" w:lineRule="auto"/>
        <w:ind w:left="426" w:right="-421" w:hanging="426"/>
        <w:jc w:val="both"/>
        <w:rPr>
          <w:rFonts w:eastAsiaTheme="minorHAnsi" w:cs="Arial"/>
          <w:sz w:val="8"/>
          <w:szCs w:val="8"/>
          <w:lang w:val="en-US"/>
        </w:rPr>
      </w:pPr>
    </w:p>
    <w:p w:rsidR="009C2FED" w:rsidRPr="00DB6A94" w:rsidRDefault="009C2FED" w:rsidP="009C2FED">
      <w:pPr>
        <w:spacing w:line="264" w:lineRule="auto"/>
        <w:ind w:left="426" w:right="-421" w:hanging="426"/>
        <w:jc w:val="both"/>
        <w:rPr>
          <w:rFonts w:eastAsiaTheme="minorHAnsi" w:cs="Arial"/>
          <w:sz w:val="20"/>
          <w:szCs w:val="20"/>
          <w:lang w:val="en-US"/>
        </w:rPr>
      </w:pPr>
      <w:r w:rsidRPr="00DB6A94">
        <w:rPr>
          <w:rFonts w:eastAsiaTheme="minorHAnsi" w:cs="Arial"/>
          <w:sz w:val="20"/>
          <w:szCs w:val="20"/>
          <w:lang w:val="en-US"/>
        </w:rPr>
        <w:t xml:space="preserve">II. </w:t>
      </w:r>
      <w:r w:rsidRPr="00DB6A94">
        <w:rPr>
          <w:rFonts w:eastAsiaTheme="minorHAnsi" w:cs="Arial"/>
          <w:sz w:val="20"/>
          <w:szCs w:val="20"/>
          <w:lang w:val="en-US"/>
        </w:rPr>
        <w:tab/>
        <w:t xml:space="preserve">Collected for specified and limited purposes; </w:t>
      </w:r>
    </w:p>
    <w:p w:rsidR="009C2FED" w:rsidRPr="00C63679" w:rsidRDefault="009C2FED" w:rsidP="009C2FED">
      <w:pPr>
        <w:spacing w:line="264" w:lineRule="auto"/>
        <w:ind w:left="426" w:right="-421" w:hanging="426"/>
        <w:jc w:val="both"/>
        <w:rPr>
          <w:rFonts w:eastAsiaTheme="minorHAnsi" w:cs="Arial"/>
          <w:sz w:val="8"/>
          <w:szCs w:val="8"/>
          <w:lang w:val="en-US"/>
        </w:rPr>
      </w:pPr>
    </w:p>
    <w:p w:rsidR="009C2FED" w:rsidRPr="00DB6A94" w:rsidRDefault="009C2FED" w:rsidP="009C2FED">
      <w:pPr>
        <w:spacing w:line="264" w:lineRule="auto"/>
        <w:ind w:left="426" w:right="-421" w:hanging="426"/>
        <w:jc w:val="both"/>
        <w:rPr>
          <w:rFonts w:eastAsiaTheme="minorHAnsi" w:cs="Arial"/>
          <w:sz w:val="20"/>
          <w:szCs w:val="20"/>
          <w:lang w:val="en-US"/>
        </w:rPr>
      </w:pPr>
      <w:r w:rsidRPr="00DB6A94">
        <w:rPr>
          <w:rFonts w:eastAsiaTheme="minorHAnsi" w:cs="Arial"/>
          <w:sz w:val="20"/>
          <w:szCs w:val="20"/>
          <w:lang w:val="en-US"/>
        </w:rPr>
        <w:t>III.</w:t>
      </w:r>
      <w:r w:rsidRPr="00DB6A94">
        <w:rPr>
          <w:rFonts w:eastAsiaTheme="minorHAnsi" w:cs="Arial"/>
          <w:sz w:val="20"/>
          <w:szCs w:val="20"/>
          <w:lang w:val="en-US"/>
        </w:rPr>
        <w:tab/>
        <w:t xml:space="preserve"> Adequate, relevant and not excessive for the purpose for which it was collected; </w:t>
      </w:r>
    </w:p>
    <w:p w:rsidR="009C2FED" w:rsidRPr="00C63679" w:rsidRDefault="009C2FED" w:rsidP="009C2FED">
      <w:pPr>
        <w:spacing w:line="264" w:lineRule="auto"/>
        <w:ind w:left="426" w:right="-421" w:hanging="426"/>
        <w:jc w:val="both"/>
        <w:rPr>
          <w:rFonts w:eastAsiaTheme="minorHAnsi" w:cs="Arial"/>
          <w:sz w:val="8"/>
          <w:szCs w:val="8"/>
          <w:lang w:val="en-US"/>
        </w:rPr>
      </w:pPr>
    </w:p>
    <w:p w:rsidR="009C2FED" w:rsidRPr="00DB6A94" w:rsidRDefault="009C2FED" w:rsidP="009C2FED">
      <w:pPr>
        <w:spacing w:line="264" w:lineRule="auto"/>
        <w:ind w:left="426" w:right="-421" w:hanging="426"/>
        <w:jc w:val="both"/>
        <w:rPr>
          <w:rFonts w:eastAsiaTheme="minorHAnsi" w:cs="Arial"/>
          <w:sz w:val="20"/>
          <w:szCs w:val="20"/>
          <w:lang w:val="en-US"/>
        </w:rPr>
      </w:pPr>
      <w:r w:rsidRPr="00DB6A94">
        <w:rPr>
          <w:rFonts w:eastAsiaTheme="minorHAnsi" w:cs="Arial"/>
          <w:sz w:val="20"/>
          <w:szCs w:val="20"/>
          <w:lang w:val="en-US"/>
        </w:rPr>
        <w:t xml:space="preserve">IV. </w:t>
      </w:r>
      <w:r w:rsidRPr="00DB6A94">
        <w:rPr>
          <w:rFonts w:eastAsiaTheme="minorHAnsi" w:cs="Arial"/>
          <w:sz w:val="20"/>
          <w:szCs w:val="20"/>
          <w:lang w:val="en-US"/>
        </w:rPr>
        <w:tab/>
        <w:t xml:space="preserve">Accurate and up to date; </w:t>
      </w:r>
    </w:p>
    <w:p w:rsidR="009C2FED" w:rsidRPr="00C63679" w:rsidRDefault="009C2FED" w:rsidP="009C2FED">
      <w:pPr>
        <w:spacing w:line="264" w:lineRule="auto"/>
        <w:ind w:left="426" w:right="-421" w:hanging="426"/>
        <w:jc w:val="both"/>
        <w:rPr>
          <w:rFonts w:eastAsiaTheme="minorHAnsi" w:cs="Arial"/>
          <w:sz w:val="8"/>
          <w:szCs w:val="8"/>
          <w:lang w:val="en-US"/>
        </w:rPr>
      </w:pPr>
    </w:p>
    <w:p w:rsidR="009C2FED" w:rsidRPr="00DB6A94" w:rsidRDefault="009C2FED" w:rsidP="009C2FED">
      <w:pPr>
        <w:spacing w:line="264" w:lineRule="auto"/>
        <w:ind w:left="426" w:right="-421" w:hanging="426"/>
        <w:jc w:val="both"/>
        <w:rPr>
          <w:rFonts w:eastAsiaTheme="minorHAnsi" w:cs="Arial"/>
          <w:sz w:val="20"/>
          <w:szCs w:val="20"/>
          <w:lang w:val="en-US"/>
        </w:rPr>
      </w:pPr>
      <w:r w:rsidRPr="00DB6A94">
        <w:rPr>
          <w:rFonts w:eastAsiaTheme="minorHAnsi" w:cs="Arial"/>
          <w:sz w:val="20"/>
          <w:szCs w:val="20"/>
          <w:lang w:val="en-US"/>
        </w:rPr>
        <w:t xml:space="preserve">V. </w:t>
      </w:r>
      <w:r w:rsidRPr="00DB6A94">
        <w:rPr>
          <w:rFonts w:eastAsiaTheme="minorHAnsi" w:cs="Arial"/>
          <w:sz w:val="20"/>
          <w:szCs w:val="20"/>
          <w:lang w:val="en-US"/>
        </w:rPr>
        <w:tab/>
        <w:t xml:space="preserve">Kept for no longer than necessary for the purpose for which it was collected; </w:t>
      </w:r>
    </w:p>
    <w:p w:rsidR="009C2FED" w:rsidRPr="00C63679" w:rsidRDefault="009C2FED" w:rsidP="009C2FED">
      <w:pPr>
        <w:spacing w:line="264" w:lineRule="auto"/>
        <w:ind w:left="426" w:right="-421" w:hanging="426"/>
        <w:jc w:val="both"/>
        <w:rPr>
          <w:rFonts w:eastAsiaTheme="minorHAnsi" w:cs="Arial"/>
          <w:sz w:val="8"/>
          <w:szCs w:val="8"/>
          <w:lang w:val="en-US"/>
        </w:rPr>
      </w:pPr>
    </w:p>
    <w:p w:rsidR="009C2FED" w:rsidRPr="00DB6A94" w:rsidRDefault="009C2FED" w:rsidP="009C2FED">
      <w:pPr>
        <w:spacing w:line="264" w:lineRule="auto"/>
        <w:ind w:left="426" w:right="-421" w:hanging="426"/>
        <w:jc w:val="both"/>
        <w:rPr>
          <w:rFonts w:eastAsiaTheme="minorHAnsi" w:cs="Arial"/>
          <w:sz w:val="20"/>
          <w:szCs w:val="20"/>
          <w:lang w:val="en-US"/>
        </w:rPr>
      </w:pPr>
      <w:r w:rsidRPr="00DB6A94">
        <w:rPr>
          <w:rFonts w:eastAsiaTheme="minorHAnsi" w:cs="Arial"/>
          <w:sz w:val="20"/>
          <w:szCs w:val="20"/>
          <w:lang w:val="en-US"/>
        </w:rPr>
        <w:t xml:space="preserve">VI. </w:t>
      </w:r>
      <w:r w:rsidRPr="00DB6A94">
        <w:rPr>
          <w:rFonts w:eastAsiaTheme="minorHAnsi" w:cs="Arial"/>
          <w:sz w:val="20"/>
          <w:szCs w:val="20"/>
          <w:lang w:val="en-US"/>
        </w:rPr>
        <w:tab/>
        <w:t xml:space="preserve">Processed in accordance with the rights of data subjects; </w:t>
      </w:r>
    </w:p>
    <w:p w:rsidR="009C2FED" w:rsidRPr="00C63679" w:rsidRDefault="009C2FED" w:rsidP="009C2FED">
      <w:pPr>
        <w:spacing w:line="264" w:lineRule="auto"/>
        <w:ind w:left="426" w:right="-421" w:hanging="426"/>
        <w:jc w:val="both"/>
        <w:rPr>
          <w:rFonts w:eastAsiaTheme="minorHAnsi" w:cs="Arial"/>
          <w:sz w:val="8"/>
          <w:szCs w:val="8"/>
          <w:lang w:val="en-US"/>
        </w:rPr>
      </w:pPr>
    </w:p>
    <w:p w:rsidR="009C2FED" w:rsidRPr="00DB6A94" w:rsidRDefault="009C2FED" w:rsidP="009C2FED">
      <w:pPr>
        <w:spacing w:line="264" w:lineRule="auto"/>
        <w:ind w:left="426" w:right="-421" w:hanging="426"/>
        <w:jc w:val="both"/>
        <w:rPr>
          <w:rFonts w:eastAsiaTheme="minorHAnsi" w:cs="Arial"/>
          <w:sz w:val="20"/>
          <w:szCs w:val="20"/>
          <w:lang w:val="en-US"/>
        </w:rPr>
      </w:pPr>
      <w:r w:rsidRPr="00DB6A94">
        <w:rPr>
          <w:rFonts w:eastAsiaTheme="minorHAnsi" w:cs="Arial"/>
          <w:sz w:val="20"/>
          <w:szCs w:val="20"/>
          <w:lang w:val="en-US"/>
        </w:rPr>
        <w:t xml:space="preserve">VII. </w:t>
      </w:r>
      <w:r w:rsidRPr="00DB6A94">
        <w:rPr>
          <w:rFonts w:eastAsiaTheme="minorHAnsi" w:cs="Arial"/>
          <w:sz w:val="20"/>
          <w:szCs w:val="20"/>
          <w:lang w:val="en-US"/>
        </w:rPr>
        <w:tab/>
        <w:t xml:space="preserve">Protected against </w:t>
      </w:r>
      <w:proofErr w:type="spellStart"/>
      <w:r w:rsidRPr="00DB6A94">
        <w:rPr>
          <w:rFonts w:eastAsiaTheme="minorHAnsi" w:cs="Arial"/>
          <w:sz w:val="20"/>
          <w:szCs w:val="20"/>
          <w:lang w:val="en-US"/>
        </w:rPr>
        <w:t>unauthorised</w:t>
      </w:r>
      <w:proofErr w:type="spellEnd"/>
      <w:r w:rsidRPr="00DB6A94">
        <w:rPr>
          <w:rFonts w:eastAsiaTheme="minorHAnsi" w:cs="Arial"/>
          <w:sz w:val="20"/>
          <w:szCs w:val="20"/>
          <w:lang w:val="en-US"/>
        </w:rPr>
        <w:t xml:space="preserve"> or unlawful processing and accidental loss or damage; and </w:t>
      </w:r>
    </w:p>
    <w:p w:rsidR="009C2FED" w:rsidRPr="00C63679" w:rsidRDefault="009C2FED" w:rsidP="009C2FED">
      <w:pPr>
        <w:spacing w:line="264" w:lineRule="auto"/>
        <w:ind w:left="426" w:right="-421" w:hanging="426"/>
        <w:jc w:val="both"/>
        <w:rPr>
          <w:rFonts w:eastAsiaTheme="minorHAnsi" w:cs="Arial"/>
          <w:sz w:val="8"/>
          <w:szCs w:val="8"/>
          <w:lang w:val="en-US"/>
        </w:rPr>
      </w:pPr>
    </w:p>
    <w:p w:rsidR="009C2FED" w:rsidRPr="00DB6A94" w:rsidRDefault="009C2FED" w:rsidP="009C2FED">
      <w:pPr>
        <w:spacing w:after="200" w:line="264" w:lineRule="auto"/>
        <w:ind w:left="426" w:right="-421" w:hanging="426"/>
        <w:jc w:val="both"/>
        <w:rPr>
          <w:rFonts w:eastAsiaTheme="minorHAnsi" w:cs="Arial"/>
          <w:sz w:val="20"/>
          <w:szCs w:val="20"/>
          <w:lang w:val="en-US"/>
        </w:rPr>
      </w:pPr>
      <w:r w:rsidRPr="00DB6A94">
        <w:rPr>
          <w:rFonts w:eastAsiaTheme="minorHAnsi" w:cs="Arial"/>
          <w:sz w:val="20"/>
          <w:szCs w:val="20"/>
          <w:lang w:val="en-US"/>
        </w:rPr>
        <w:t xml:space="preserve">VIII. Not transferred to a country outside the European Economic Area unless that country ensures an adequate level of protection for the rights of data subjects in relation to the processing of personal data. </w:t>
      </w:r>
    </w:p>
    <w:p w:rsidR="009C2FED" w:rsidRPr="00DB6A94" w:rsidRDefault="009C2FED" w:rsidP="009C2FED">
      <w:pPr>
        <w:spacing w:after="200" w:line="264" w:lineRule="auto"/>
        <w:ind w:left="426" w:right="-421" w:hanging="426"/>
        <w:jc w:val="both"/>
        <w:rPr>
          <w:rFonts w:eastAsiaTheme="minorHAnsi" w:cs="Arial"/>
          <w:sz w:val="20"/>
          <w:szCs w:val="20"/>
          <w:lang w:val="en-US"/>
        </w:rPr>
      </w:pPr>
      <w:r w:rsidRPr="00DB6A94">
        <w:rPr>
          <w:rFonts w:eastAsiaTheme="minorHAnsi" w:cs="Arial"/>
          <w:sz w:val="20"/>
          <w:szCs w:val="20"/>
          <w:lang w:val="en-US"/>
        </w:rPr>
        <w:t xml:space="preserve">3.2  </w:t>
      </w:r>
      <w:r>
        <w:rPr>
          <w:rFonts w:eastAsiaTheme="minorHAnsi" w:cs="Arial"/>
          <w:sz w:val="20"/>
          <w:szCs w:val="20"/>
          <w:lang w:val="en-US"/>
        </w:rPr>
        <w:tab/>
      </w:r>
      <w:r w:rsidRPr="00DB6A94">
        <w:rPr>
          <w:rFonts w:eastAsiaTheme="minorHAnsi" w:cs="Arial"/>
          <w:sz w:val="20"/>
          <w:szCs w:val="20"/>
          <w:lang w:val="en-US"/>
        </w:rPr>
        <w:t xml:space="preserve">Where the University engages with a third party to perform a service on its behalf (whether voluntary or commercial) these responsibilities remain in force.  Any transfer of personal data must be subject to the University satisfying itself that the third party is reliable, and to specific written arrangements that provide for appropriate security and guarantee of adherence to the University instructions. Such written arrangements must also include details of measures that the University may take to validate the security guarantees given by the third party (for example audit rights). </w:t>
      </w:r>
    </w:p>
    <w:p w:rsidR="009C2FED" w:rsidRPr="00DB6A94" w:rsidRDefault="009C2FED" w:rsidP="009C2FED">
      <w:pPr>
        <w:spacing w:after="200" w:line="264" w:lineRule="auto"/>
        <w:ind w:left="426" w:right="-421" w:hanging="426"/>
        <w:jc w:val="both"/>
        <w:rPr>
          <w:rFonts w:eastAsiaTheme="minorHAnsi" w:cs="Arial"/>
          <w:sz w:val="20"/>
          <w:szCs w:val="20"/>
          <w:lang w:val="en-US"/>
        </w:rPr>
      </w:pPr>
      <w:r w:rsidRPr="00DB6A94">
        <w:rPr>
          <w:rFonts w:eastAsiaTheme="minorHAnsi" w:cs="Arial"/>
          <w:sz w:val="20"/>
          <w:szCs w:val="20"/>
          <w:lang w:val="en-US"/>
        </w:rPr>
        <w:t xml:space="preserve">3.3  </w:t>
      </w:r>
      <w:r>
        <w:rPr>
          <w:rFonts w:eastAsiaTheme="minorHAnsi" w:cs="Arial"/>
          <w:sz w:val="20"/>
          <w:szCs w:val="20"/>
          <w:lang w:val="en-US"/>
        </w:rPr>
        <w:tab/>
      </w:r>
      <w:r w:rsidRPr="00DB6A94">
        <w:rPr>
          <w:rFonts w:eastAsiaTheme="minorHAnsi" w:cs="Arial"/>
          <w:sz w:val="20"/>
          <w:szCs w:val="20"/>
          <w:lang w:val="en-US"/>
        </w:rPr>
        <w:t>University guidance on handling requests for data to be disclosed to data subjects is available.</w:t>
      </w:r>
    </w:p>
    <w:p w:rsidR="009C2FED" w:rsidRPr="00DB6A94" w:rsidRDefault="009C2FED" w:rsidP="009C2FED">
      <w:pPr>
        <w:spacing w:line="264" w:lineRule="auto"/>
        <w:ind w:left="426" w:right="-421"/>
        <w:jc w:val="both"/>
        <w:rPr>
          <w:rFonts w:eastAsiaTheme="minorHAnsi" w:cs="Arial"/>
          <w:sz w:val="20"/>
          <w:szCs w:val="20"/>
          <w:lang w:val="en-US"/>
        </w:rPr>
      </w:pPr>
      <w:r w:rsidRPr="00DB6A94">
        <w:rPr>
          <w:rFonts w:eastAsiaTheme="minorHAnsi" w:cs="Arial"/>
          <w:sz w:val="20"/>
          <w:szCs w:val="20"/>
          <w:lang w:val="en-US"/>
        </w:rPr>
        <w:t>For staff handling requests from students:</w:t>
      </w:r>
    </w:p>
    <w:p w:rsidR="009C2FED" w:rsidRPr="00CF57C9" w:rsidRDefault="00E10ED6" w:rsidP="009C2FED">
      <w:pPr>
        <w:spacing w:line="264" w:lineRule="auto"/>
        <w:ind w:left="426" w:right="-421"/>
        <w:jc w:val="both"/>
        <w:rPr>
          <w:rFonts w:asciiTheme="minorHAnsi" w:eastAsiaTheme="minorHAnsi" w:hAnsiTheme="minorHAnsi" w:cstheme="minorBidi"/>
          <w:sz w:val="18"/>
          <w:szCs w:val="18"/>
          <w:lang w:val="en-US"/>
        </w:rPr>
      </w:pPr>
      <w:hyperlink r:id="rId11" w:history="1">
        <w:r w:rsidR="009C2FED" w:rsidRPr="00CF57C9">
          <w:rPr>
            <w:rFonts w:eastAsiaTheme="minorHAnsi" w:cs="Arial"/>
            <w:color w:val="0000FF" w:themeColor="hyperlink"/>
            <w:sz w:val="18"/>
            <w:szCs w:val="18"/>
            <w:u w:val="single"/>
            <w:lang w:val="en-US"/>
          </w:rPr>
          <w:t>http://www.sussex.ac.uk/ogs/governance/recordsmanagement/dpa/dataprotectionstaff/guidelinesstudentdata</w:t>
        </w:r>
      </w:hyperlink>
      <w:r w:rsidR="009C2FED" w:rsidRPr="00CF57C9">
        <w:rPr>
          <w:rFonts w:asciiTheme="minorHAnsi" w:eastAsiaTheme="minorHAnsi" w:hAnsiTheme="minorHAnsi" w:cstheme="minorBidi"/>
          <w:sz w:val="18"/>
          <w:szCs w:val="18"/>
          <w:lang w:val="en-US"/>
        </w:rPr>
        <w:t xml:space="preserve"> </w:t>
      </w:r>
    </w:p>
    <w:p w:rsidR="009C2FED" w:rsidRPr="00DB6A94" w:rsidRDefault="00E10ED6" w:rsidP="009C2FED">
      <w:pPr>
        <w:spacing w:after="200" w:line="264" w:lineRule="auto"/>
        <w:ind w:left="426" w:right="-421"/>
        <w:jc w:val="both"/>
        <w:rPr>
          <w:rFonts w:eastAsiaTheme="minorHAnsi" w:cs="Arial"/>
          <w:sz w:val="20"/>
          <w:szCs w:val="20"/>
          <w:lang w:val="en-US"/>
        </w:rPr>
      </w:pPr>
      <w:hyperlink r:id="rId12" w:history="1">
        <w:r w:rsidR="009C2FED" w:rsidRPr="00CF57C9">
          <w:rPr>
            <w:rFonts w:eastAsiaTheme="minorHAnsi" w:cs="Arial"/>
            <w:color w:val="0000FF" w:themeColor="hyperlink"/>
            <w:sz w:val="18"/>
            <w:szCs w:val="18"/>
            <w:u w:val="single"/>
            <w:lang w:val="en-US"/>
          </w:rPr>
          <w:t>http://www.sussex.ac.uk/ogs/governance/recordsmanagement/dpa/dataprotectionstudents/requestinformation</w:t>
        </w:r>
      </w:hyperlink>
      <w:r w:rsidR="009C2FED" w:rsidRPr="00DB6A94">
        <w:rPr>
          <w:rFonts w:eastAsiaTheme="minorHAnsi" w:cs="Arial"/>
          <w:sz w:val="20"/>
          <w:szCs w:val="20"/>
          <w:lang w:val="en-US"/>
        </w:rPr>
        <w:t xml:space="preserve"> </w:t>
      </w:r>
    </w:p>
    <w:p w:rsidR="009C2FED" w:rsidRPr="00DB6A94" w:rsidRDefault="009C2FED" w:rsidP="009C2FED">
      <w:pPr>
        <w:spacing w:line="264" w:lineRule="auto"/>
        <w:ind w:left="426" w:right="-421"/>
        <w:jc w:val="both"/>
        <w:rPr>
          <w:rFonts w:eastAsiaTheme="minorHAnsi" w:cs="Arial"/>
          <w:sz w:val="20"/>
          <w:szCs w:val="20"/>
          <w:lang w:val="en-US"/>
        </w:rPr>
      </w:pPr>
      <w:r w:rsidRPr="00DB6A94">
        <w:rPr>
          <w:rFonts w:eastAsiaTheme="minorHAnsi" w:cs="Arial"/>
          <w:sz w:val="20"/>
          <w:szCs w:val="20"/>
          <w:lang w:val="en-US"/>
        </w:rPr>
        <w:t>For staff wishing to make such a request themselves:</w:t>
      </w:r>
    </w:p>
    <w:p w:rsidR="009C2FED" w:rsidRPr="00CF57C9" w:rsidRDefault="00E10ED6" w:rsidP="009C2FED">
      <w:pPr>
        <w:spacing w:after="200" w:line="264" w:lineRule="auto"/>
        <w:ind w:right="-421" w:firstLine="426"/>
        <w:jc w:val="both"/>
        <w:rPr>
          <w:rFonts w:eastAsiaTheme="minorHAnsi" w:cs="Arial"/>
          <w:sz w:val="18"/>
          <w:szCs w:val="18"/>
          <w:lang w:val="en-US"/>
        </w:rPr>
      </w:pPr>
      <w:hyperlink r:id="rId13" w:history="1">
        <w:r w:rsidR="009C2FED" w:rsidRPr="00CF57C9">
          <w:rPr>
            <w:rFonts w:eastAsiaTheme="minorHAnsi" w:cs="Arial"/>
            <w:color w:val="0000FF" w:themeColor="hyperlink"/>
            <w:sz w:val="18"/>
            <w:szCs w:val="18"/>
            <w:u w:val="single"/>
            <w:lang w:val="en-US"/>
          </w:rPr>
          <w:t>http://www.sussex.ac.uk/ogs/governance/recordsmanagement/dpa/dataprotectionstaff/requestinformation</w:t>
        </w:r>
      </w:hyperlink>
      <w:r w:rsidR="009C2FED" w:rsidRPr="00CF57C9">
        <w:rPr>
          <w:rFonts w:eastAsiaTheme="minorHAnsi" w:cs="Arial"/>
          <w:sz w:val="18"/>
          <w:szCs w:val="18"/>
          <w:lang w:val="en-US"/>
        </w:rPr>
        <w:t xml:space="preserve"> </w:t>
      </w:r>
    </w:p>
    <w:p w:rsidR="009C2FED" w:rsidRPr="00DB6A94" w:rsidRDefault="009C2FED" w:rsidP="009C2FED">
      <w:pPr>
        <w:spacing w:after="200" w:line="264" w:lineRule="auto"/>
        <w:ind w:left="426" w:right="-421" w:hanging="426"/>
        <w:jc w:val="both"/>
        <w:rPr>
          <w:rFonts w:eastAsiaTheme="minorHAnsi" w:cs="Arial"/>
          <w:sz w:val="20"/>
          <w:szCs w:val="20"/>
          <w:lang w:val="en-US"/>
        </w:rPr>
      </w:pPr>
      <w:r w:rsidRPr="00DB6A94">
        <w:rPr>
          <w:rFonts w:eastAsiaTheme="minorHAnsi" w:cs="Arial"/>
          <w:b/>
          <w:bCs/>
          <w:sz w:val="20"/>
          <w:szCs w:val="20"/>
          <w:lang w:val="en-US"/>
        </w:rPr>
        <w:t xml:space="preserve">4. </w:t>
      </w:r>
      <w:r>
        <w:rPr>
          <w:rFonts w:eastAsiaTheme="minorHAnsi" w:cs="Arial"/>
          <w:b/>
          <w:bCs/>
          <w:sz w:val="20"/>
          <w:szCs w:val="20"/>
          <w:lang w:val="en-US"/>
        </w:rPr>
        <w:tab/>
      </w:r>
      <w:r w:rsidRPr="00DB6A94">
        <w:rPr>
          <w:rFonts w:eastAsiaTheme="minorHAnsi" w:cs="Arial"/>
          <w:b/>
          <w:bCs/>
          <w:sz w:val="20"/>
          <w:szCs w:val="20"/>
          <w:lang w:val="en-US"/>
        </w:rPr>
        <w:t>Freedom of Information Act 2000 (</w:t>
      </w:r>
      <w:proofErr w:type="spellStart"/>
      <w:r w:rsidRPr="00DB6A94">
        <w:rPr>
          <w:rFonts w:eastAsiaTheme="minorHAnsi" w:cs="Arial"/>
          <w:b/>
          <w:bCs/>
          <w:sz w:val="20"/>
          <w:szCs w:val="20"/>
          <w:lang w:val="en-US"/>
        </w:rPr>
        <w:t>FoIA</w:t>
      </w:r>
      <w:proofErr w:type="spellEnd"/>
      <w:r w:rsidRPr="00DB6A94">
        <w:rPr>
          <w:rFonts w:eastAsiaTheme="minorHAnsi" w:cs="Arial"/>
          <w:b/>
          <w:bCs/>
          <w:sz w:val="20"/>
          <w:szCs w:val="20"/>
          <w:lang w:val="en-US"/>
        </w:rPr>
        <w:t>)</w:t>
      </w:r>
    </w:p>
    <w:p w:rsidR="009C2FED" w:rsidRPr="00DB6A94" w:rsidRDefault="009C2FED" w:rsidP="009C2FED">
      <w:pPr>
        <w:spacing w:after="200" w:line="264" w:lineRule="auto"/>
        <w:ind w:left="426" w:right="-563" w:hanging="426"/>
        <w:jc w:val="both"/>
        <w:rPr>
          <w:rFonts w:eastAsiaTheme="minorHAnsi" w:cs="Arial"/>
          <w:i/>
          <w:sz w:val="20"/>
          <w:szCs w:val="20"/>
          <w:lang w:val="en-US"/>
        </w:rPr>
      </w:pPr>
      <w:r w:rsidRPr="00DB6A94">
        <w:rPr>
          <w:rFonts w:eastAsiaTheme="minorHAnsi" w:cs="Arial"/>
          <w:sz w:val="20"/>
          <w:szCs w:val="20"/>
          <w:lang w:val="en-US"/>
        </w:rPr>
        <w:t xml:space="preserve">4.1  </w:t>
      </w:r>
      <w:r>
        <w:rPr>
          <w:rFonts w:eastAsiaTheme="minorHAnsi" w:cs="Arial"/>
          <w:sz w:val="20"/>
          <w:szCs w:val="20"/>
          <w:lang w:val="en-US"/>
        </w:rPr>
        <w:tab/>
      </w:r>
      <w:r w:rsidRPr="00DB6A94">
        <w:rPr>
          <w:rFonts w:eastAsiaTheme="minorHAnsi" w:cs="Arial"/>
          <w:sz w:val="20"/>
          <w:szCs w:val="20"/>
          <w:lang w:val="en-US"/>
        </w:rPr>
        <w:t xml:space="preserve">The University is committed to implementing the principles and provisions of the </w:t>
      </w:r>
      <w:proofErr w:type="spellStart"/>
      <w:r w:rsidRPr="00DB6A94">
        <w:rPr>
          <w:rFonts w:eastAsiaTheme="minorHAnsi" w:cs="Arial"/>
          <w:sz w:val="20"/>
          <w:szCs w:val="20"/>
          <w:lang w:val="en-US"/>
        </w:rPr>
        <w:t>FoIA</w:t>
      </w:r>
      <w:proofErr w:type="spellEnd"/>
      <w:r w:rsidRPr="00DB6A94">
        <w:rPr>
          <w:rFonts w:eastAsiaTheme="minorHAnsi" w:cs="Arial"/>
          <w:sz w:val="20"/>
          <w:szCs w:val="20"/>
          <w:lang w:val="en-US"/>
        </w:rPr>
        <w:t>, including the maintenance of a fully compliant ‘publication scheme’ under the Act</w:t>
      </w:r>
      <w:r>
        <w:rPr>
          <w:rFonts w:eastAsiaTheme="minorHAnsi" w:cs="Arial"/>
          <w:sz w:val="20"/>
          <w:szCs w:val="20"/>
          <w:lang w:val="en-US"/>
        </w:rPr>
        <w:t xml:space="preserve"> (viewable at: </w:t>
      </w:r>
      <w:hyperlink r:id="rId14" w:history="1">
        <w:r w:rsidRPr="007F1CAA">
          <w:rPr>
            <w:rFonts w:eastAsiaTheme="minorHAnsi" w:cs="Arial"/>
            <w:color w:val="0000FF" w:themeColor="hyperlink"/>
            <w:sz w:val="18"/>
            <w:szCs w:val="18"/>
            <w:u w:val="single"/>
            <w:lang w:val="en-US"/>
          </w:rPr>
          <w:t>http://www.sussex.ac.uk/ogs/governance/recordsmanagement/foi/publicationscheme</w:t>
        </w:r>
      </w:hyperlink>
      <w:r>
        <w:rPr>
          <w:rFonts w:eastAsiaTheme="minorHAnsi" w:cs="Arial"/>
          <w:sz w:val="20"/>
          <w:szCs w:val="20"/>
          <w:lang w:val="en-US"/>
        </w:rPr>
        <w:t xml:space="preserve">. </w:t>
      </w:r>
      <w:r w:rsidRPr="00DB6A94">
        <w:rPr>
          <w:rFonts w:eastAsiaTheme="minorHAnsi" w:cs="Arial"/>
          <w:sz w:val="20"/>
          <w:szCs w:val="20"/>
          <w:lang w:val="en-US"/>
        </w:rPr>
        <w:t xml:space="preserve">Full guidance on compliance with </w:t>
      </w:r>
      <w:r>
        <w:rPr>
          <w:rFonts w:eastAsiaTheme="minorHAnsi" w:cs="Arial"/>
          <w:sz w:val="20"/>
          <w:szCs w:val="20"/>
          <w:lang w:val="en-US"/>
        </w:rPr>
        <w:t xml:space="preserve">the </w:t>
      </w:r>
      <w:proofErr w:type="spellStart"/>
      <w:r>
        <w:rPr>
          <w:rFonts w:eastAsiaTheme="minorHAnsi" w:cs="Arial"/>
          <w:sz w:val="20"/>
          <w:szCs w:val="20"/>
          <w:lang w:val="en-US"/>
        </w:rPr>
        <w:t>FoIA</w:t>
      </w:r>
      <w:proofErr w:type="spellEnd"/>
      <w:r w:rsidRPr="00DB6A94">
        <w:rPr>
          <w:rFonts w:eastAsiaTheme="minorHAnsi" w:cs="Arial"/>
          <w:sz w:val="20"/>
          <w:szCs w:val="20"/>
          <w:lang w:val="en-US"/>
        </w:rPr>
        <w:t xml:space="preserve"> is available at </w:t>
      </w:r>
      <w:hyperlink r:id="rId15" w:history="1">
        <w:r w:rsidRPr="00CF57C9">
          <w:rPr>
            <w:rFonts w:eastAsiaTheme="minorHAnsi" w:cs="Arial"/>
            <w:color w:val="0000FF" w:themeColor="hyperlink"/>
            <w:sz w:val="18"/>
            <w:szCs w:val="18"/>
            <w:u w:val="single"/>
            <w:lang w:val="en-US"/>
          </w:rPr>
          <w:t>http://www.sussex.ac.uk/ogs/governance/recordsmanagement/foi</w:t>
        </w:r>
      </w:hyperlink>
      <w:r w:rsidRPr="00DB6A94">
        <w:rPr>
          <w:rFonts w:eastAsiaTheme="minorHAnsi" w:cs="Arial"/>
          <w:sz w:val="20"/>
          <w:szCs w:val="20"/>
          <w:lang w:val="en-US"/>
        </w:rPr>
        <w:t xml:space="preserve">. </w:t>
      </w:r>
    </w:p>
    <w:p w:rsidR="009C2FED" w:rsidRDefault="009C2FED" w:rsidP="009C2FED">
      <w:pPr>
        <w:spacing w:after="200" w:line="264" w:lineRule="auto"/>
        <w:ind w:left="426" w:right="-421" w:hanging="426"/>
        <w:jc w:val="both"/>
        <w:rPr>
          <w:rFonts w:eastAsiaTheme="minorHAnsi" w:cs="Arial"/>
          <w:sz w:val="20"/>
          <w:szCs w:val="20"/>
          <w:lang w:val="en-US"/>
        </w:rPr>
      </w:pPr>
      <w:r w:rsidRPr="00DB6A94">
        <w:rPr>
          <w:rFonts w:eastAsiaTheme="minorHAnsi" w:cs="Arial"/>
          <w:sz w:val="20"/>
          <w:szCs w:val="20"/>
          <w:lang w:val="en-US"/>
        </w:rPr>
        <w:t xml:space="preserve">4.2  </w:t>
      </w:r>
      <w:r>
        <w:rPr>
          <w:rFonts w:eastAsiaTheme="minorHAnsi" w:cs="Arial"/>
          <w:sz w:val="20"/>
          <w:szCs w:val="20"/>
          <w:lang w:val="en-US"/>
        </w:rPr>
        <w:tab/>
      </w:r>
      <w:r w:rsidRPr="00DB6A94">
        <w:rPr>
          <w:rFonts w:eastAsiaTheme="minorHAnsi" w:cs="Arial"/>
          <w:sz w:val="20"/>
          <w:szCs w:val="20"/>
          <w:lang w:val="en-US"/>
        </w:rPr>
        <w:t>Requests for information submitted to the University should be dealt with in accordance with the pr</w:t>
      </w:r>
      <w:r>
        <w:rPr>
          <w:rFonts w:eastAsiaTheme="minorHAnsi" w:cs="Arial"/>
          <w:sz w:val="20"/>
          <w:szCs w:val="20"/>
          <w:lang w:val="en-US"/>
        </w:rPr>
        <w:t xml:space="preserve">ovisions of the </w:t>
      </w:r>
      <w:proofErr w:type="spellStart"/>
      <w:r>
        <w:rPr>
          <w:rFonts w:eastAsiaTheme="minorHAnsi" w:cs="Arial"/>
          <w:sz w:val="20"/>
          <w:szCs w:val="20"/>
          <w:lang w:val="en-US"/>
        </w:rPr>
        <w:t>FoIA</w:t>
      </w:r>
      <w:proofErr w:type="spellEnd"/>
      <w:r w:rsidRPr="00DB6A94">
        <w:rPr>
          <w:rFonts w:eastAsiaTheme="minorHAnsi" w:cs="Arial"/>
          <w:sz w:val="20"/>
          <w:szCs w:val="20"/>
          <w:lang w:val="en-US"/>
        </w:rPr>
        <w:t xml:space="preserve">. In most cases this will mean an appropriate response within 20 working days of receipt of the request.   All requests that appear to be formally submitted under the </w:t>
      </w:r>
      <w:proofErr w:type="spellStart"/>
      <w:r w:rsidRPr="00DB6A94">
        <w:rPr>
          <w:rFonts w:eastAsiaTheme="minorHAnsi" w:cs="Arial"/>
          <w:sz w:val="20"/>
          <w:szCs w:val="20"/>
          <w:lang w:val="en-US"/>
        </w:rPr>
        <w:t>FoIA</w:t>
      </w:r>
      <w:proofErr w:type="spellEnd"/>
      <w:r w:rsidRPr="00DB6A94">
        <w:rPr>
          <w:rFonts w:eastAsiaTheme="minorHAnsi" w:cs="Arial"/>
          <w:sz w:val="20"/>
          <w:szCs w:val="20"/>
          <w:lang w:val="en-US"/>
        </w:rPr>
        <w:t xml:space="preserve"> should be referred immediately to the FOI officer within OGS for response.  </w:t>
      </w:r>
    </w:p>
    <w:p w:rsidR="00D96CA6" w:rsidRPr="00DB6A94" w:rsidRDefault="00D96CA6" w:rsidP="00E10ED6">
      <w:pPr>
        <w:spacing w:after="200" w:line="264" w:lineRule="auto"/>
        <w:ind w:left="426" w:right="-421" w:hanging="426"/>
        <w:jc w:val="both"/>
        <w:rPr>
          <w:rFonts w:eastAsiaTheme="minorHAnsi" w:cs="Arial"/>
          <w:sz w:val="20"/>
          <w:szCs w:val="20"/>
          <w:lang w:val="en-US"/>
        </w:rPr>
      </w:pPr>
      <w:r>
        <w:rPr>
          <w:rFonts w:eastAsiaTheme="minorHAnsi" w:cs="Arial"/>
          <w:sz w:val="20"/>
          <w:szCs w:val="20"/>
          <w:lang w:val="en-US"/>
        </w:rPr>
        <w:t>4.3</w:t>
      </w:r>
      <w:r>
        <w:rPr>
          <w:rFonts w:eastAsiaTheme="minorHAnsi" w:cs="Arial"/>
          <w:sz w:val="20"/>
          <w:szCs w:val="20"/>
          <w:lang w:val="en-US"/>
        </w:rPr>
        <w:tab/>
      </w:r>
      <w:r w:rsidR="00E10ED6">
        <w:rPr>
          <w:rFonts w:eastAsiaTheme="minorHAnsi" w:cs="Arial"/>
          <w:sz w:val="20"/>
          <w:szCs w:val="20"/>
          <w:lang w:val="en-US"/>
        </w:rPr>
        <w:t>T</w:t>
      </w:r>
      <w:r>
        <w:rPr>
          <w:rFonts w:eastAsiaTheme="minorHAnsi" w:cs="Arial"/>
          <w:sz w:val="20"/>
          <w:szCs w:val="20"/>
          <w:lang w:val="en-US"/>
        </w:rPr>
        <w:t>he University operates a policy of limiting the number of requests it will process from a single requester.  The limit is currently 20 per calendar year.</w:t>
      </w:r>
    </w:p>
    <w:p w:rsidR="009C2FED" w:rsidRDefault="009C2FED" w:rsidP="00E10ED6">
      <w:pPr>
        <w:pStyle w:val="NoSpacing"/>
        <w:ind w:left="426" w:right="-421" w:hanging="426"/>
        <w:rPr>
          <w:rFonts w:eastAsiaTheme="minorHAnsi"/>
          <w:sz w:val="20"/>
          <w:szCs w:val="20"/>
          <w:lang w:val="en-US"/>
        </w:rPr>
      </w:pPr>
      <w:r w:rsidRPr="00CF57C9">
        <w:rPr>
          <w:rFonts w:eastAsiaTheme="minorHAnsi"/>
          <w:sz w:val="20"/>
          <w:szCs w:val="20"/>
          <w:lang w:val="en-US"/>
        </w:rPr>
        <w:t>4.</w:t>
      </w:r>
      <w:r w:rsidR="00E10ED6">
        <w:rPr>
          <w:rFonts w:eastAsiaTheme="minorHAnsi"/>
          <w:sz w:val="20"/>
          <w:szCs w:val="20"/>
          <w:lang w:val="en-US"/>
        </w:rPr>
        <w:t>4</w:t>
      </w:r>
      <w:bookmarkStart w:id="0" w:name="_GoBack"/>
      <w:bookmarkEnd w:id="0"/>
      <w:r w:rsidRPr="00CF57C9">
        <w:rPr>
          <w:rFonts w:eastAsiaTheme="minorHAnsi"/>
          <w:sz w:val="20"/>
          <w:szCs w:val="20"/>
          <w:lang w:val="en-US"/>
        </w:rPr>
        <w:t xml:space="preserve">  The University complies with the </w:t>
      </w:r>
      <w:proofErr w:type="spellStart"/>
      <w:r w:rsidRPr="00CF57C9">
        <w:rPr>
          <w:rFonts w:eastAsiaTheme="minorHAnsi"/>
          <w:sz w:val="20"/>
          <w:szCs w:val="20"/>
          <w:lang w:val="en-US"/>
        </w:rPr>
        <w:t>FoIA</w:t>
      </w:r>
      <w:proofErr w:type="spellEnd"/>
      <w:r w:rsidRPr="00CF57C9">
        <w:rPr>
          <w:rFonts w:eastAsiaTheme="minorHAnsi"/>
          <w:sz w:val="20"/>
          <w:szCs w:val="20"/>
          <w:lang w:val="en-US"/>
        </w:rPr>
        <w:t xml:space="preserve"> in relation to the proceedings of its internal bodies in these ways:</w:t>
      </w:r>
    </w:p>
    <w:p w:rsidR="009C2FED" w:rsidRPr="00CF57C9" w:rsidRDefault="009C2FED" w:rsidP="009C2FED">
      <w:pPr>
        <w:pStyle w:val="NoSpacing"/>
        <w:ind w:left="426" w:right="-421" w:hanging="426"/>
        <w:rPr>
          <w:rFonts w:eastAsiaTheme="minorHAnsi"/>
          <w:sz w:val="16"/>
          <w:szCs w:val="16"/>
          <w:lang w:val="en-US"/>
        </w:rPr>
      </w:pPr>
    </w:p>
    <w:p w:rsidR="009C2FED" w:rsidRPr="00DB6A94" w:rsidRDefault="009C2FED" w:rsidP="009C2FED">
      <w:pPr>
        <w:spacing w:line="264" w:lineRule="auto"/>
        <w:ind w:left="426" w:right="-421"/>
        <w:jc w:val="both"/>
        <w:rPr>
          <w:rFonts w:eastAsiaTheme="minorHAnsi" w:cs="Arial"/>
          <w:sz w:val="20"/>
          <w:szCs w:val="20"/>
          <w:u w:val="single"/>
          <w:lang w:val="en-US"/>
        </w:rPr>
      </w:pPr>
      <w:r w:rsidRPr="00DB6A94">
        <w:rPr>
          <w:rFonts w:eastAsiaTheme="minorHAnsi" w:cs="Arial"/>
          <w:sz w:val="20"/>
          <w:szCs w:val="20"/>
          <w:u w:val="single"/>
          <w:lang w:val="en-US"/>
        </w:rPr>
        <w:t>Committee papers</w:t>
      </w:r>
    </w:p>
    <w:p w:rsidR="009C2FED" w:rsidRPr="00DB6A94" w:rsidRDefault="009C2FED" w:rsidP="009C2FED">
      <w:pPr>
        <w:spacing w:after="200" w:line="264" w:lineRule="auto"/>
        <w:ind w:left="426" w:right="-421"/>
        <w:jc w:val="both"/>
        <w:rPr>
          <w:rFonts w:eastAsiaTheme="minorHAnsi" w:cs="Arial"/>
          <w:sz w:val="20"/>
          <w:szCs w:val="20"/>
          <w:lang w:val="en-US"/>
        </w:rPr>
      </w:pPr>
      <w:r w:rsidRPr="00DB6A94">
        <w:rPr>
          <w:rFonts w:eastAsiaTheme="minorHAnsi" w:cs="Arial"/>
          <w:sz w:val="20"/>
          <w:szCs w:val="20"/>
          <w:lang w:val="en-US"/>
        </w:rPr>
        <w:t xml:space="preserve">The University adheres to the ‘open’ principles of the </w:t>
      </w:r>
      <w:proofErr w:type="spellStart"/>
      <w:r w:rsidRPr="00DB6A94">
        <w:rPr>
          <w:rFonts w:eastAsiaTheme="minorHAnsi" w:cs="Arial"/>
          <w:sz w:val="20"/>
          <w:szCs w:val="20"/>
          <w:lang w:val="en-US"/>
        </w:rPr>
        <w:t>FoIA</w:t>
      </w:r>
      <w:proofErr w:type="spellEnd"/>
      <w:r w:rsidRPr="00DB6A94">
        <w:rPr>
          <w:rFonts w:eastAsiaTheme="minorHAnsi" w:cs="Arial"/>
          <w:sz w:val="20"/>
          <w:szCs w:val="20"/>
          <w:lang w:val="en-US"/>
        </w:rPr>
        <w:t xml:space="preserve"> by making available the papers of formal University bodies</w:t>
      </w:r>
      <w:r w:rsidRPr="00DB6A94">
        <w:rPr>
          <w:rFonts w:eastAsiaTheme="minorHAnsi" w:cs="Arial"/>
          <w:sz w:val="20"/>
          <w:vertAlign w:val="superscript"/>
          <w:lang w:val="en-US"/>
        </w:rPr>
        <w:footnoteReference w:id="2"/>
      </w:r>
      <w:r w:rsidRPr="00DB6A94">
        <w:rPr>
          <w:rFonts w:eastAsiaTheme="minorHAnsi" w:cs="Arial"/>
          <w:sz w:val="20"/>
          <w:szCs w:val="20"/>
          <w:lang w:val="en-US"/>
        </w:rPr>
        <w:t xml:space="preserve"> via Sussex Direct in a way that gives direct access to all members of the University.  The same applies to the great majority of papers considered by the committees, apart from the few cases </w:t>
      </w:r>
      <w:r w:rsidRPr="00DB6A94">
        <w:rPr>
          <w:rFonts w:eastAsiaTheme="minorHAnsi" w:cs="Arial"/>
          <w:sz w:val="20"/>
          <w:szCs w:val="20"/>
          <w:lang w:val="en-US"/>
        </w:rPr>
        <w:lastRenderedPageBreak/>
        <w:t xml:space="preserve">where circulation is restricted to committee members only for reasons related either to data protection or specific </w:t>
      </w:r>
      <w:proofErr w:type="spellStart"/>
      <w:r w:rsidRPr="00DB6A94">
        <w:rPr>
          <w:rFonts w:eastAsiaTheme="minorHAnsi" w:cs="Arial"/>
          <w:sz w:val="20"/>
          <w:szCs w:val="20"/>
          <w:lang w:val="en-US"/>
        </w:rPr>
        <w:t>FoIA</w:t>
      </w:r>
      <w:proofErr w:type="spellEnd"/>
      <w:r w:rsidRPr="00DB6A94">
        <w:rPr>
          <w:rFonts w:eastAsiaTheme="minorHAnsi" w:cs="Arial"/>
          <w:sz w:val="20"/>
          <w:szCs w:val="20"/>
          <w:lang w:val="en-US"/>
        </w:rPr>
        <w:t xml:space="preserve"> exemptions (e.g. relating to commercial sensitivity).</w:t>
      </w:r>
    </w:p>
    <w:p w:rsidR="009C2FED" w:rsidRPr="00DB6A94" w:rsidRDefault="009C2FED" w:rsidP="009C2FED">
      <w:pPr>
        <w:spacing w:line="264" w:lineRule="auto"/>
        <w:ind w:left="426" w:right="-421"/>
        <w:jc w:val="both"/>
        <w:rPr>
          <w:rFonts w:eastAsiaTheme="minorHAnsi" w:cs="Arial"/>
          <w:sz w:val="20"/>
          <w:szCs w:val="20"/>
          <w:u w:val="single"/>
          <w:lang w:val="en-US"/>
        </w:rPr>
      </w:pPr>
      <w:r w:rsidRPr="00DB6A94">
        <w:rPr>
          <w:rFonts w:eastAsiaTheme="minorHAnsi" w:cs="Arial"/>
          <w:sz w:val="20"/>
          <w:szCs w:val="20"/>
          <w:u w:val="single"/>
          <w:lang w:val="en-US"/>
        </w:rPr>
        <w:t xml:space="preserve">Minutes/notes of internal bodies  </w:t>
      </w:r>
    </w:p>
    <w:p w:rsidR="009C2FED" w:rsidRPr="00DB6A94" w:rsidRDefault="009C2FED" w:rsidP="00D96CA6">
      <w:pPr>
        <w:spacing w:after="200" w:line="264" w:lineRule="auto"/>
        <w:ind w:left="426" w:right="-421"/>
        <w:jc w:val="both"/>
        <w:rPr>
          <w:rFonts w:eastAsiaTheme="minorHAnsi" w:cs="Arial"/>
          <w:sz w:val="20"/>
          <w:szCs w:val="20"/>
          <w:lang w:val="en-US"/>
        </w:rPr>
      </w:pPr>
      <w:r w:rsidRPr="00DB6A94">
        <w:rPr>
          <w:rFonts w:eastAsiaTheme="minorHAnsi" w:cs="Arial"/>
          <w:sz w:val="20"/>
          <w:szCs w:val="20"/>
          <w:lang w:val="en-US"/>
        </w:rPr>
        <w:t xml:space="preserve">The University’s general practice is also to publish the </w:t>
      </w:r>
      <w:proofErr w:type="spellStart"/>
      <w:r w:rsidRPr="00DB6A94">
        <w:rPr>
          <w:rFonts w:eastAsiaTheme="minorHAnsi" w:cs="Arial"/>
          <w:sz w:val="20"/>
          <w:szCs w:val="20"/>
          <w:lang w:val="en-US"/>
        </w:rPr>
        <w:t>finalised</w:t>
      </w:r>
      <w:proofErr w:type="spellEnd"/>
      <w:r w:rsidRPr="00DB6A94">
        <w:rPr>
          <w:rFonts w:eastAsiaTheme="minorHAnsi" w:cs="Arial"/>
          <w:sz w:val="20"/>
          <w:szCs w:val="20"/>
          <w:lang w:val="en-US"/>
        </w:rPr>
        <w:t xml:space="preserve"> minutes of notes of University committees and management groups via Sussex Direct.  For this purpose, the minutes of committees are considered as draft until approved and </w:t>
      </w:r>
      <w:proofErr w:type="spellStart"/>
      <w:r w:rsidRPr="00DB6A94">
        <w:rPr>
          <w:rFonts w:eastAsiaTheme="minorHAnsi" w:cs="Arial"/>
          <w:sz w:val="20"/>
          <w:szCs w:val="20"/>
          <w:lang w:val="en-US"/>
        </w:rPr>
        <w:t>finalised</w:t>
      </w:r>
      <w:proofErr w:type="spellEnd"/>
      <w:r w:rsidRPr="00DB6A94">
        <w:rPr>
          <w:rFonts w:eastAsiaTheme="minorHAnsi" w:cs="Arial"/>
          <w:sz w:val="20"/>
          <w:szCs w:val="20"/>
          <w:lang w:val="en-US"/>
        </w:rPr>
        <w:t xml:space="preserve"> at the next meeting of the committee.  Likewise, the notes of management groups are viewed as draft (not for further circulation) for a standard period of six months after the meeting in question, during which period the provisions of section </w:t>
      </w:r>
      <w:r w:rsidR="00D96CA6">
        <w:rPr>
          <w:rFonts w:eastAsiaTheme="minorHAnsi" w:cs="Arial"/>
          <w:sz w:val="20"/>
          <w:szCs w:val="20"/>
          <w:lang w:val="en-US"/>
        </w:rPr>
        <w:t>43</w:t>
      </w:r>
      <w:r w:rsidR="00D96CA6" w:rsidRPr="00DB6A94">
        <w:rPr>
          <w:rFonts w:eastAsiaTheme="minorHAnsi" w:cs="Arial"/>
          <w:sz w:val="20"/>
          <w:szCs w:val="20"/>
          <w:lang w:val="en-US"/>
        </w:rPr>
        <w:t xml:space="preserve"> </w:t>
      </w:r>
      <w:r w:rsidRPr="00DB6A94">
        <w:rPr>
          <w:rFonts w:eastAsiaTheme="minorHAnsi" w:cs="Arial"/>
          <w:sz w:val="20"/>
          <w:szCs w:val="20"/>
          <w:lang w:val="en-US"/>
        </w:rPr>
        <w:t xml:space="preserve">of the </w:t>
      </w:r>
      <w:proofErr w:type="spellStart"/>
      <w:r w:rsidRPr="00DB6A94">
        <w:rPr>
          <w:rFonts w:eastAsiaTheme="minorHAnsi" w:cs="Arial"/>
          <w:sz w:val="20"/>
          <w:szCs w:val="20"/>
          <w:lang w:val="en-US"/>
        </w:rPr>
        <w:t>FoIA</w:t>
      </w:r>
      <w:proofErr w:type="spellEnd"/>
      <w:r w:rsidRPr="00DB6A94">
        <w:rPr>
          <w:rFonts w:eastAsiaTheme="minorHAnsi" w:cs="Arial"/>
          <w:sz w:val="20"/>
          <w:szCs w:val="20"/>
          <w:lang w:val="en-US"/>
        </w:rPr>
        <w:t xml:space="preserve"> relating to ‘</w:t>
      </w:r>
      <w:r w:rsidR="00D96CA6">
        <w:rPr>
          <w:rFonts w:eastAsiaTheme="minorHAnsi" w:cs="Arial"/>
          <w:sz w:val="20"/>
          <w:szCs w:val="20"/>
          <w:lang w:val="en-US"/>
        </w:rPr>
        <w:t>prejudice to commercial interests’</w:t>
      </w:r>
      <w:r w:rsidRPr="00DB6A94">
        <w:rPr>
          <w:rFonts w:eastAsiaTheme="minorHAnsi" w:cs="Arial"/>
          <w:sz w:val="20"/>
          <w:szCs w:val="20"/>
          <w:lang w:val="en-US"/>
        </w:rPr>
        <w:t xml:space="preserve"> apply.</w:t>
      </w:r>
    </w:p>
    <w:p w:rsidR="009C2FED" w:rsidRPr="00DB6A94" w:rsidRDefault="009C2FED" w:rsidP="009C2FED">
      <w:pPr>
        <w:spacing w:after="200" w:line="264" w:lineRule="auto"/>
        <w:ind w:left="426" w:right="-421" w:hanging="426"/>
        <w:jc w:val="both"/>
        <w:rPr>
          <w:rFonts w:eastAsiaTheme="minorHAnsi" w:cs="Arial"/>
          <w:sz w:val="20"/>
          <w:szCs w:val="20"/>
          <w:lang w:val="en-US"/>
        </w:rPr>
      </w:pPr>
      <w:r w:rsidRPr="00DB6A94">
        <w:rPr>
          <w:rFonts w:eastAsiaTheme="minorHAnsi" w:cs="Arial"/>
          <w:b/>
          <w:bCs/>
          <w:sz w:val="20"/>
          <w:szCs w:val="20"/>
          <w:lang w:val="en-US"/>
        </w:rPr>
        <w:t xml:space="preserve">5. </w:t>
      </w:r>
      <w:r>
        <w:rPr>
          <w:rFonts w:eastAsiaTheme="minorHAnsi" w:cs="Arial"/>
          <w:b/>
          <w:bCs/>
          <w:sz w:val="20"/>
          <w:szCs w:val="20"/>
          <w:lang w:val="en-US"/>
        </w:rPr>
        <w:tab/>
      </w:r>
      <w:r w:rsidRPr="00DB6A94">
        <w:rPr>
          <w:rFonts w:eastAsiaTheme="minorHAnsi" w:cs="Arial"/>
          <w:b/>
          <w:bCs/>
          <w:sz w:val="20"/>
          <w:szCs w:val="20"/>
          <w:lang w:val="en-US"/>
        </w:rPr>
        <w:t xml:space="preserve">Managing University records </w:t>
      </w:r>
    </w:p>
    <w:p w:rsidR="009C2FED" w:rsidRPr="007F1CAA" w:rsidRDefault="009C2FED" w:rsidP="009C2FED">
      <w:pPr>
        <w:spacing w:after="200" w:line="264" w:lineRule="auto"/>
        <w:ind w:left="426" w:right="-421" w:hanging="426"/>
        <w:jc w:val="both"/>
        <w:rPr>
          <w:rFonts w:eastAsiaTheme="minorHAnsi" w:cs="Arial"/>
          <w:sz w:val="20"/>
          <w:szCs w:val="20"/>
          <w:lang w:val="en-US"/>
        </w:rPr>
      </w:pPr>
      <w:r w:rsidRPr="00DB6A94">
        <w:rPr>
          <w:rFonts w:eastAsiaTheme="minorHAnsi" w:cs="Arial"/>
          <w:sz w:val="20"/>
          <w:szCs w:val="20"/>
          <w:lang w:val="en-US"/>
        </w:rPr>
        <w:t xml:space="preserve">5.1  </w:t>
      </w:r>
      <w:r>
        <w:rPr>
          <w:rFonts w:eastAsiaTheme="minorHAnsi" w:cs="Arial"/>
          <w:sz w:val="20"/>
          <w:szCs w:val="20"/>
          <w:lang w:val="en-US"/>
        </w:rPr>
        <w:tab/>
      </w:r>
      <w:r w:rsidRPr="00DB6A94">
        <w:rPr>
          <w:rFonts w:eastAsiaTheme="minorHAnsi" w:cs="Arial"/>
          <w:sz w:val="20"/>
          <w:szCs w:val="20"/>
          <w:lang w:val="en-US"/>
        </w:rPr>
        <w:t xml:space="preserve">The University </w:t>
      </w:r>
      <w:proofErr w:type="spellStart"/>
      <w:r w:rsidRPr="00DB6A94">
        <w:rPr>
          <w:rFonts w:eastAsiaTheme="minorHAnsi" w:cs="Arial"/>
          <w:sz w:val="20"/>
          <w:szCs w:val="20"/>
          <w:lang w:val="en-US"/>
        </w:rPr>
        <w:t>recognises</w:t>
      </w:r>
      <w:proofErr w:type="spellEnd"/>
      <w:r w:rsidRPr="00DB6A94">
        <w:rPr>
          <w:rFonts w:eastAsiaTheme="minorHAnsi" w:cs="Arial"/>
          <w:sz w:val="20"/>
          <w:szCs w:val="20"/>
          <w:lang w:val="en-US"/>
        </w:rPr>
        <w:t xml:space="preserve"> that its records are important assets which require appropriate management for the effective and efficient administration of business, and the discharge of its responsibilities. This includes the meeting of compliance obligations under the DPA and the </w:t>
      </w:r>
      <w:proofErr w:type="spellStart"/>
      <w:r w:rsidRPr="00DB6A94">
        <w:rPr>
          <w:rFonts w:eastAsiaTheme="minorHAnsi" w:cs="Arial"/>
          <w:sz w:val="20"/>
          <w:szCs w:val="20"/>
          <w:lang w:val="en-US"/>
        </w:rPr>
        <w:t>FoIA</w:t>
      </w:r>
      <w:proofErr w:type="spellEnd"/>
      <w:r w:rsidRPr="00DB6A94">
        <w:rPr>
          <w:rFonts w:eastAsiaTheme="minorHAnsi" w:cs="Arial"/>
          <w:sz w:val="20"/>
          <w:szCs w:val="20"/>
          <w:lang w:val="en-US"/>
        </w:rPr>
        <w:t xml:space="preserve">. The University will take steps to ensure that </w:t>
      </w:r>
      <w:r w:rsidRPr="00DB6A94">
        <w:rPr>
          <w:rFonts w:eastAsiaTheme="minorHAnsi" w:cs="Arial"/>
          <w:sz w:val="20"/>
          <w:szCs w:val="20"/>
        </w:rPr>
        <w:t xml:space="preserve">personal data that is held is accurate and up to date, including the expectation that students and staff will keep their own personal details up-to-date via self-service web pages for updating changes of name, address etc.  </w:t>
      </w:r>
      <w:r w:rsidRPr="00DB6A94">
        <w:rPr>
          <w:rFonts w:eastAsiaTheme="minorHAnsi" w:cs="Arial"/>
          <w:sz w:val="20"/>
          <w:szCs w:val="20"/>
          <w:lang w:val="en-US"/>
        </w:rPr>
        <w:t xml:space="preserve">The University will also take steps to ensure that the retention, disposal and final disposition of records is undertaken in accordance with guidelines. Further details are provided by the University’s </w:t>
      </w:r>
      <w:r w:rsidRPr="00DB6A94">
        <w:rPr>
          <w:rFonts w:eastAsiaTheme="minorHAnsi" w:cs="Arial"/>
          <w:bCs/>
          <w:i/>
          <w:sz w:val="20"/>
          <w:szCs w:val="20"/>
          <w:lang w:val="en-US"/>
        </w:rPr>
        <w:t>Records Management Policy and Master Records Retention Schedule</w:t>
      </w:r>
      <w:r w:rsidRPr="00DB6A94">
        <w:rPr>
          <w:rFonts w:eastAsiaTheme="minorHAnsi" w:cs="Arial"/>
          <w:bCs/>
          <w:sz w:val="20"/>
          <w:szCs w:val="20"/>
          <w:lang w:val="en-US"/>
        </w:rPr>
        <w:t xml:space="preserve"> </w:t>
      </w:r>
      <w:r w:rsidRPr="00DB6A94">
        <w:rPr>
          <w:rFonts w:eastAsiaTheme="minorHAnsi" w:cs="Arial"/>
          <w:sz w:val="20"/>
          <w:szCs w:val="20"/>
          <w:lang w:val="en-US"/>
        </w:rPr>
        <w:t xml:space="preserve">and via formal guidance and other advice from the Records Management section of the OGS. </w:t>
      </w:r>
      <w:r w:rsidRPr="007F1CAA">
        <w:rPr>
          <w:rFonts w:asciiTheme="minorHAnsi" w:eastAsiaTheme="minorHAnsi" w:hAnsiTheme="minorHAnsi" w:cstheme="minorBidi"/>
          <w:sz w:val="18"/>
          <w:szCs w:val="18"/>
          <w:lang w:val="en-US"/>
        </w:rPr>
        <w:t>(</w:t>
      </w:r>
      <w:hyperlink r:id="rId16" w:history="1">
        <w:r w:rsidRPr="007F1CAA">
          <w:rPr>
            <w:rFonts w:eastAsiaTheme="minorHAnsi" w:cs="Arial"/>
            <w:color w:val="0000FF" w:themeColor="hyperlink"/>
            <w:sz w:val="18"/>
            <w:szCs w:val="18"/>
            <w:u w:val="single"/>
            <w:lang w:val="en-US"/>
          </w:rPr>
          <w:t>http://www.sussex.ac.uk/ogs/governance/records-management/recordsmanagementguidance</w:t>
        </w:r>
      </w:hyperlink>
      <w:r w:rsidRPr="007F1CAA">
        <w:rPr>
          <w:rFonts w:asciiTheme="minorHAnsi" w:eastAsiaTheme="minorHAnsi" w:hAnsiTheme="minorHAnsi" w:cstheme="minorBidi"/>
          <w:sz w:val="18"/>
          <w:szCs w:val="18"/>
          <w:lang w:val="en-US"/>
        </w:rPr>
        <w:t>).</w:t>
      </w:r>
    </w:p>
    <w:p w:rsidR="009C2FED" w:rsidRPr="00DB6A94" w:rsidRDefault="009C2FED" w:rsidP="009C2FED">
      <w:pPr>
        <w:spacing w:after="200" w:line="264" w:lineRule="auto"/>
        <w:ind w:left="426" w:right="-421" w:hanging="426"/>
        <w:jc w:val="both"/>
        <w:rPr>
          <w:rFonts w:eastAsiaTheme="minorHAnsi" w:cs="Arial"/>
          <w:sz w:val="20"/>
          <w:szCs w:val="20"/>
          <w:lang w:val="en-US"/>
        </w:rPr>
      </w:pPr>
      <w:r w:rsidRPr="00DB6A94">
        <w:rPr>
          <w:rFonts w:eastAsiaTheme="minorHAnsi" w:cs="Arial"/>
          <w:sz w:val="20"/>
          <w:szCs w:val="20"/>
          <w:lang w:val="en-US"/>
        </w:rPr>
        <w:t xml:space="preserve">5.2  </w:t>
      </w:r>
      <w:r>
        <w:rPr>
          <w:rFonts w:eastAsiaTheme="minorHAnsi" w:cs="Arial"/>
          <w:sz w:val="20"/>
          <w:szCs w:val="20"/>
          <w:lang w:val="en-US"/>
        </w:rPr>
        <w:tab/>
      </w:r>
      <w:r w:rsidRPr="00DB6A94">
        <w:rPr>
          <w:rFonts w:eastAsiaTheme="minorHAnsi" w:cs="Arial"/>
          <w:sz w:val="20"/>
          <w:szCs w:val="20"/>
          <w:lang w:val="en-US"/>
        </w:rPr>
        <w:t xml:space="preserve">Research records created by staff in the course of their research are also subject to the specific record-keeping requirements of that research, whether internally or externally funded. </w:t>
      </w:r>
    </w:p>
    <w:p w:rsidR="009C2FED" w:rsidRPr="00DB6A94" w:rsidRDefault="009C2FED" w:rsidP="009C2FED">
      <w:pPr>
        <w:spacing w:after="200" w:line="264" w:lineRule="auto"/>
        <w:ind w:left="426" w:right="-421" w:hanging="426"/>
        <w:jc w:val="both"/>
        <w:rPr>
          <w:rFonts w:eastAsiaTheme="minorHAnsi" w:cs="Arial"/>
          <w:bCs/>
          <w:sz w:val="20"/>
          <w:szCs w:val="20"/>
          <w:lang w:val="en-US"/>
        </w:rPr>
      </w:pPr>
      <w:r w:rsidRPr="00DB6A94">
        <w:rPr>
          <w:rFonts w:eastAsiaTheme="minorHAnsi" w:cs="Arial"/>
          <w:b/>
          <w:bCs/>
          <w:sz w:val="20"/>
          <w:szCs w:val="20"/>
          <w:lang w:val="en-US"/>
        </w:rPr>
        <w:t xml:space="preserve">6.  </w:t>
      </w:r>
      <w:r>
        <w:rPr>
          <w:rFonts w:eastAsiaTheme="minorHAnsi" w:cs="Arial"/>
          <w:b/>
          <w:bCs/>
          <w:sz w:val="20"/>
          <w:szCs w:val="20"/>
          <w:lang w:val="en-US"/>
        </w:rPr>
        <w:tab/>
      </w:r>
      <w:r w:rsidRPr="00DB6A94">
        <w:rPr>
          <w:rFonts w:eastAsiaTheme="minorHAnsi" w:cs="Arial"/>
          <w:b/>
          <w:bCs/>
          <w:sz w:val="20"/>
          <w:szCs w:val="20"/>
          <w:lang w:val="en-US"/>
        </w:rPr>
        <w:t>Training</w:t>
      </w:r>
    </w:p>
    <w:p w:rsidR="009C2FED" w:rsidRPr="00DB6A94" w:rsidRDefault="009C2FED" w:rsidP="009C2FED">
      <w:pPr>
        <w:spacing w:after="200" w:line="264" w:lineRule="auto"/>
        <w:ind w:left="426" w:right="-421"/>
        <w:jc w:val="both"/>
        <w:rPr>
          <w:rFonts w:eastAsiaTheme="minorHAnsi" w:cs="Arial"/>
          <w:b/>
          <w:bCs/>
          <w:sz w:val="20"/>
          <w:szCs w:val="20"/>
          <w:lang w:val="en-US"/>
        </w:rPr>
      </w:pPr>
      <w:r w:rsidRPr="00DB6A94">
        <w:rPr>
          <w:rFonts w:eastAsiaTheme="minorHAnsi" w:cs="Arial"/>
          <w:bCs/>
          <w:sz w:val="20"/>
          <w:szCs w:val="20"/>
          <w:lang w:val="en-US"/>
        </w:rPr>
        <w:t xml:space="preserve">The training needs of members of University staff in relation to the DPA and </w:t>
      </w:r>
      <w:proofErr w:type="spellStart"/>
      <w:r w:rsidRPr="00DB6A94">
        <w:rPr>
          <w:rFonts w:eastAsiaTheme="minorHAnsi" w:cs="Arial"/>
          <w:bCs/>
          <w:sz w:val="20"/>
          <w:szCs w:val="20"/>
          <w:lang w:val="en-US"/>
        </w:rPr>
        <w:t>FoIA</w:t>
      </w:r>
      <w:proofErr w:type="spellEnd"/>
      <w:r w:rsidRPr="00DB6A94">
        <w:rPr>
          <w:rFonts w:eastAsiaTheme="minorHAnsi" w:cs="Arial"/>
          <w:bCs/>
          <w:sz w:val="20"/>
          <w:szCs w:val="20"/>
          <w:lang w:val="en-US"/>
        </w:rPr>
        <w:t xml:space="preserve"> </w:t>
      </w:r>
      <w:r>
        <w:rPr>
          <w:rFonts w:eastAsiaTheme="minorHAnsi" w:cs="Arial"/>
          <w:bCs/>
          <w:sz w:val="20"/>
          <w:szCs w:val="20"/>
          <w:lang w:val="en-US"/>
        </w:rPr>
        <w:t>are delivered</w:t>
      </w:r>
      <w:r w:rsidRPr="00DB6A94">
        <w:rPr>
          <w:rFonts w:eastAsiaTheme="minorHAnsi" w:cs="Arial"/>
          <w:bCs/>
          <w:sz w:val="20"/>
          <w:szCs w:val="20"/>
          <w:lang w:val="en-US"/>
        </w:rPr>
        <w:t xml:space="preserve"> via specialist external courses or internal staff development offerings</w:t>
      </w:r>
      <w:r>
        <w:rPr>
          <w:rFonts w:eastAsiaTheme="minorHAnsi" w:cs="Arial"/>
          <w:bCs/>
          <w:sz w:val="20"/>
          <w:szCs w:val="20"/>
          <w:lang w:val="en-US"/>
        </w:rPr>
        <w:t>,</w:t>
      </w:r>
      <w:r w:rsidRPr="00DB6A94">
        <w:rPr>
          <w:rFonts w:eastAsiaTheme="minorHAnsi" w:cs="Arial"/>
          <w:bCs/>
          <w:sz w:val="20"/>
          <w:szCs w:val="20"/>
          <w:lang w:val="en-US"/>
        </w:rPr>
        <w:t xml:space="preserve"> as appropriate to need. </w:t>
      </w:r>
      <w:r w:rsidRPr="00DB6A94">
        <w:rPr>
          <w:rFonts w:eastAsiaTheme="minorHAnsi" w:cs="Arial"/>
          <w:b/>
          <w:bCs/>
          <w:sz w:val="20"/>
          <w:szCs w:val="20"/>
          <w:lang w:val="en-US"/>
        </w:rPr>
        <w:t xml:space="preserve"> </w:t>
      </w:r>
    </w:p>
    <w:p w:rsidR="009C2FED" w:rsidRPr="00DB6A94" w:rsidRDefault="009C2FED" w:rsidP="009C2FED">
      <w:pPr>
        <w:spacing w:after="200" w:line="264" w:lineRule="auto"/>
        <w:ind w:left="426" w:right="-421" w:hanging="426"/>
        <w:jc w:val="both"/>
        <w:rPr>
          <w:rFonts w:eastAsiaTheme="minorHAnsi" w:cs="Arial"/>
          <w:sz w:val="20"/>
          <w:szCs w:val="20"/>
          <w:lang w:val="en-US"/>
        </w:rPr>
      </w:pPr>
      <w:r w:rsidRPr="00DB6A94">
        <w:rPr>
          <w:rFonts w:eastAsiaTheme="minorHAnsi" w:cs="Arial"/>
          <w:b/>
          <w:bCs/>
          <w:sz w:val="20"/>
          <w:szCs w:val="20"/>
          <w:lang w:val="en-US"/>
        </w:rPr>
        <w:t xml:space="preserve">7.  </w:t>
      </w:r>
      <w:r>
        <w:rPr>
          <w:rFonts w:eastAsiaTheme="minorHAnsi" w:cs="Arial"/>
          <w:b/>
          <w:bCs/>
          <w:sz w:val="20"/>
          <w:szCs w:val="20"/>
          <w:lang w:val="en-US"/>
        </w:rPr>
        <w:tab/>
      </w:r>
      <w:r w:rsidRPr="00DB6A94">
        <w:rPr>
          <w:rFonts w:eastAsiaTheme="minorHAnsi" w:cs="Arial"/>
          <w:b/>
          <w:bCs/>
          <w:sz w:val="20"/>
          <w:szCs w:val="20"/>
          <w:lang w:val="en-US"/>
        </w:rPr>
        <w:t xml:space="preserve">Monitoring and compliance with this policy </w:t>
      </w:r>
    </w:p>
    <w:p w:rsidR="009C2FED" w:rsidRPr="00DB6A94" w:rsidRDefault="009C2FED" w:rsidP="009C2FED">
      <w:pPr>
        <w:spacing w:after="200" w:line="264" w:lineRule="auto"/>
        <w:ind w:left="426" w:right="-421" w:hanging="426"/>
        <w:jc w:val="both"/>
        <w:rPr>
          <w:rFonts w:eastAsiaTheme="minorHAnsi" w:cs="Arial"/>
          <w:sz w:val="20"/>
          <w:szCs w:val="20"/>
          <w:lang w:val="en-US"/>
        </w:rPr>
      </w:pPr>
      <w:r w:rsidRPr="00DB6A94">
        <w:rPr>
          <w:rFonts w:eastAsiaTheme="minorHAnsi" w:cs="Arial"/>
          <w:sz w:val="20"/>
          <w:szCs w:val="20"/>
          <w:lang w:val="en-US"/>
        </w:rPr>
        <w:t xml:space="preserve">7.1  </w:t>
      </w:r>
      <w:r>
        <w:rPr>
          <w:rFonts w:eastAsiaTheme="minorHAnsi" w:cs="Arial"/>
          <w:sz w:val="20"/>
          <w:szCs w:val="20"/>
          <w:lang w:val="en-US"/>
        </w:rPr>
        <w:tab/>
      </w:r>
      <w:r w:rsidRPr="00DB6A94">
        <w:rPr>
          <w:rFonts w:eastAsiaTheme="minorHAnsi" w:cs="Arial"/>
          <w:sz w:val="20"/>
          <w:szCs w:val="20"/>
          <w:lang w:val="en-US"/>
        </w:rPr>
        <w:t xml:space="preserve">The University is legally obliged to comply with this legislation. Monitoring of compliance will be coordinated by OGS, via annual reminders and compliance-assertion survey of heads of academic and professional service units, and also periodic compliance audit exercises.  The University’s internal auditors will also be closely involved in this process.  Any instances of apparent breach of compliance within the University will be investigated by OGS.  </w:t>
      </w:r>
    </w:p>
    <w:p w:rsidR="009C2FED" w:rsidRPr="00DB6A94" w:rsidRDefault="009C2FED" w:rsidP="009C2FED">
      <w:pPr>
        <w:spacing w:after="200" w:line="264" w:lineRule="auto"/>
        <w:ind w:left="426" w:right="-421" w:hanging="426"/>
        <w:jc w:val="both"/>
        <w:rPr>
          <w:rFonts w:eastAsiaTheme="minorHAnsi" w:cs="Arial"/>
          <w:sz w:val="20"/>
          <w:szCs w:val="20"/>
          <w:lang w:val="en-US"/>
        </w:rPr>
      </w:pPr>
      <w:r w:rsidRPr="00DB6A94">
        <w:rPr>
          <w:rFonts w:eastAsiaTheme="minorHAnsi" w:cs="Arial"/>
          <w:sz w:val="20"/>
          <w:szCs w:val="20"/>
          <w:lang w:val="en-US"/>
        </w:rPr>
        <w:t xml:space="preserve">7.2  </w:t>
      </w:r>
      <w:r>
        <w:rPr>
          <w:rFonts w:eastAsiaTheme="minorHAnsi" w:cs="Arial"/>
          <w:sz w:val="20"/>
          <w:szCs w:val="20"/>
          <w:lang w:val="en-US"/>
        </w:rPr>
        <w:tab/>
      </w:r>
      <w:r w:rsidRPr="00DB6A94">
        <w:rPr>
          <w:rFonts w:eastAsiaTheme="minorHAnsi" w:cs="Arial"/>
          <w:sz w:val="20"/>
          <w:szCs w:val="20"/>
          <w:lang w:val="en-US"/>
        </w:rPr>
        <w:t>No</w:t>
      </w:r>
      <w:r>
        <w:rPr>
          <w:rFonts w:eastAsiaTheme="minorHAnsi" w:cs="Arial"/>
          <w:sz w:val="20"/>
          <w:szCs w:val="20"/>
          <w:lang w:val="en-US"/>
        </w:rPr>
        <w:t>n-</w:t>
      </w:r>
      <w:r w:rsidRPr="00DB6A94">
        <w:rPr>
          <w:rFonts w:eastAsiaTheme="minorHAnsi" w:cs="Arial"/>
          <w:sz w:val="20"/>
          <w:szCs w:val="20"/>
          <w:lang w:val="en-US"/>
        </w:rPr>
        <w:t xml:space="preserve">compliance by individual members of staff which causes damage to the University (including its reputation) may be dealt with through staff disciplinary procedures.  In specified circumstances, agents acting on behalf of the University may also be made subject to the compliance responsibilities of this policy.  </w:t>
      </w:r>
    </w:p>
    <w:p w:rsidR="009C2FED" w:rsidRPr="00DB6A94" w:rsidRDefault="009C2FED" w:rsidP="009C2FED">
      <w:pPr>
        <w:spacing w:after="200" w:line="264" w:lineRule="auto"/>
        <w:ind w:left="426" w:right="-421" w:hanging="426"/>
        <w:rPr>
          <w:rFonts w:eastAsiaTheme="minorHAnsi" w:cs="Arial"/>
          <w:sz w:val="20"/>
          <w:szCs w:val="20"/>
          <w:lang w:val="en-US"/>
        </w:rPr>
      </w:pPr>
      <w:r w:rsidRPr="00DB6A94">
        <w:rPr>
          <w:rFonts w:eastAsiaTheme="minorHAnsi" w:cs="Arial"/>
          <w:b/>
          <w:sz w:val="20"/>
          <w:szCs w:val="20"/>
          <w:lang w:val="en-US"/>
        </w:rPr>
        <w:t xml:space="preserve">8.  </w:t>
      </w:r>
      <w:r>
        <w:rPr>
          <w:rFonts w:eastAsiaTheme="minorHAnsi" w:cs="Arial"/>
          <w:b/>
          <w:sz w:val="20"/>
          <w:szCs w:val="20"/>
          <w:lang w:val="en-US"/>
        </w:rPr>
        <w:tab/>
      </w:r>
      <w:r w:rsidRPr="00DB6A94">
        <w:rPr>
          <w:rFonts w:eastAsiaTheme="minorHAnsi" w:cs="Arial"/>
          <w:b/>
          <w:sz w:val="20"/>
          <w:szCs w:val="20"/>
          <w:lang w:val="en-US"/>
        </w:rPr>
        <w:t>Information Security/Data Protection/Freedom of Information contacts</w:t>
      </w:r>
    </w:p>
    <w:p w:rsidR="009C2FED" w:rsidRPr="00DB6A94" w:rsidRDefault="009C2FED" w:rsidP="009C2FED">
      <w:pPr>
        <w:spacing w:after="200" w:line="264" w:lineRule="auto"/>
        <w:ind w:left="426" w:right="-421"/>
        <w:rPr>
          <w:rFonts w:eastAsiaTheme="minorHAnsi" w:cs="Arial"/>
          <w:sz w:val="20"/>
          <w:szCs w:val="20"/>
          <w:lang w:val="en-US"/>
        </w:rPr>
      </w:pPr>
      <w:r w:rsidRPr="00DB6A94">
        <w:rPr>
          <w:rFonts w:eastAsiaTheme="minorHAnsi" w:cs="Arial"/>
          <w:sz w:val="20"/>
          <w:szCs w:val="20"/>
          <w:lang w:val="en-US"/>
        </w:rPr>
        <w:t>For general enquiries about issues relating to the scope of this policy, contact:</w:t>
      </w:r>
    </w:p>
    <w:p w:rsidR="009C2FED" w:rsidRPr="00C63679" w:rsidRDefault="009C2FED" w:rsidP="009C2FED">
      <w:pPr>
        <w:pStyle w:val="NoSpacing"/>
        <w:ind w:left="426"/>
        <w:rPr>
          <w:rFonts w:eastAsiaTheme="minorHAnsi"/>
          <w:sz w:val="20"/>
          <w:szCs w:val="20"/>
          <w:lang w:val="en-US"/>
        </w:rPr>
      </w:pPr>
      <w:r w:rsidRPr="00C63679">
        <w:rPr>
          <w:rFonts w:eastAsiaTheme="minorHAnsi"/>
          <w:sz w:val="20"/>
          <w:szCs w:val="20"/>
          <w:lang w:val="en-US"/>
        </w:rPr>
        <w:t>Office of Governance &amp; Secretariat</w:t>
      </w:r>
      <w:r w:rsidRPr="00C63679">
        <w:rPr>
          <w:rFonts w:eastAsiaTheme="minorHAnsi"/>
          <w:sz w:val="20"/>
          <w:szCs w:val="20"/>
          <w:lang w:val="en-US"/>
        </w:rPr>
        <w:br/>
        <w:t>Sussex House</w:t>
      </w:r>
      <w:r w:rsidRPr="00C63679">
        <w:rPr>
          <w:rFonts w:eastAsiaTheme="minorHAnsi"/>
          <w:sz w:val="20"/>
          <w:szCs w:val="20"/>
          <w:lang w:val="en-US"/>
        </w:rPr>
        <w:br/>
        <w:t>University of Sussex</w:t>
      </w:r>
      <w:r w:rsidRPr="00C63679">
        <w:rPr>
          <w:rFonts w:eastAsiaTheme="minorHAnsi"/>
          <w:sz w:val="20"/>
          <w:szCs w:val="20"/>
          <w:lang w:val="en-US"/>
        </w:rPr>
        <w:br/>
        <w:t>Falmer</w:t>
      </w:r>
      <w:r w:rsidRPr="00C63679">
        <w:rPr>
          <w:rFonts w:eastAsiaTheme="minorHAnsi"/>
          <w:sz w:val="20"/>
          <w:szCs w:val="20"/>
          <w:lang w:val="en-US"/>
        </w:rPr>
        <w:br/>
        <w:t>Brighton BN1 9RH</w:t>
      </w:r>
      <w:r>
        <w:rPr>
          <w:rFonts w:eastAsiaTheme="minorHAnsi"/>
          <w:sz w:val="20"/>
          <w:szCs w:val="20"/>
          <w:lang w:val="en-US"/>
        </w:rPr>
        <w:tab/>
      </w:r>
      <w:r>
        <w:rPr>
          <w:rFonts w:eastAsiaTheme="minorHAnsi"/>
          <w:sz w:val="20"/>
          <w:szCs w:val="20"/>
          <w:lang w:val="en-US"/>
        </w:rPr>
        <w:tab/>
      </w:r>
      <w:r>
        <w:rPr>
          <w:rFonts w:eastAsiaTheme="minorHAnsi"/>
          <w:sz w:val="20"/>
          <w:szCs w:val="20"/>
          <w:lang w:val="en-US"/>
        </w:rPr>
        <w:tab/>
      </w:r>
      <w:r>
        <w:rPr>
          <w:rFonts w:eastAsiaTheme="minorHAnsi"/>
          <w:sz w:val="20"/>
          <w:szCs w:val="20"/>
          <w:lang w:val="en-US"/>
        </w:rPr>
        <w:tab/>
      </w:r>
      <w:r>
        <w:rPr>
          <w:rFonts w:eastAsiaTheme="minorHAnsi"/>
          <w:sz w:val="20"/>
          <w:szCs w:val="20"/>
          <w:lang w:val="en-US"/>
        </w:rPr>
        <w:tab/>
      </w:r>
      <w:r>
        <w:rPr>
          <w:rFonts w:eastAsiaTheme="minorHAnsi"/>
          <w:sz w:val="20"/>
          <w:szCs w:val="20"/>
          <w:lang w:val="en-US"/>
        </w:rPr>
        <w:tab/>
      </w:r>
      <w:r>
        <w:rPr>
          <w:rFonts w:eastAsiaTheme="minorHAnsi"/>
          <w:sz w:val="20"/>
          <w:szCs w:val="20"/>
          <w:lang w:val="en-US"/>
        </w:rPr>
        <w:tab/>
      </w:r>
      <w:r w:rsidRPr="00C63679">
        <w:rPr>
          <w:rFonts w:eastAsiaTheme="minorHAnsi" w:cs="Arial"/>
          <w:sz w:val="20"/>
          <w:szCs w:val="20"/>
          <w:lang w:val="en-US"/>
        </w:rPr>
        <w:t>T (01273) 873855/678794</w:t>
      </w:r>
    </w:p>
    <w:p w:rsidR="009C2FED" w:rsidRPr="00C63679" w:rsidRDefault="009C2FED" w:rsidP="009C2FED">
      <w:pPr>
        <w:pStyle w:val="NoSpacing"/>
        <w:ind w:left="426"/>
        <w:rPr>
          <w:rFonts w:eastAsiaTheme="minorHAnsi" w:cs="Arial"/>
          <w:sz w:val="20"/>
          <w:szCs w:val="20"/>
          <w:lang w:val="en-US"/>
        </w:rPr>
      </w:pPr>
      <w:r w:rsidRPr="00C63679">
        <w:rPr>
          <w:rFonts w:eastAsiaTheme="minorHAnsi" w:cs="Arial"/>
          <w:sz w:val="20"/>
          <w:szCs w:val="20"/>
          <w:lang w:val="en-US"/>
        </w:rPr>
        <w:t xml:space="preserve">For data protection related matters:  </w:t>
      </w:r>
      <w:r>
        <w:rPr>
          <w:rFonts w:eastAsiaTheme="minorHAnsi" w:cs="Arial"/>
          <w:sz w:val="20"/>
          <w:szCs w:val="20"/>
          <w:lang w:val="en-US"/>
        </w:rPr>
        <w:tab/>
      </w:r>
      <w:r>
        <w:rPr>
          <w:rFonts w:eastAsiaTheme="minorHAnsi" w:cs="Arial"/>
          <w:sz w:val="20"/>
          <w:szCs w:val="20"/>
          <w:lang w:val="en-US"/>
        </w:rPr>
        <w:tab/>
      </w:r>
      <w:r>
        <w:rPr>
          <w:rFonts w:eastAsiaTheme="minorHAnsi" w:cs="Arial"/>
          <w:sz w:val="20"/>
          <w:szCs w:val="20"/>
          <w:lang w:val="en-US"/>
        </w:rPr>
        <w:tab/>
      </w:r>
      <w:r>
        <w:rPr>
          <w:rFonts w:eastAsiaTheme="minorHAnsi" w:cs="Arial"/>
          <w:sz w:val="20"/>
          <w:szCs w:val="20"/>
          <w:lang w:val="en-US"/>
        </w:rPr>
        <w:tab/>
      </w:r>
      <w:hyperlink r:id="rId17" w:history="1">
        <w:r w:rsidRPr="00C63679">
          <w:rPr>
            <w:rFonts w:eastAsiaTheme="minorHAnsi" w:cs="Arial"/>
            <w:color w:val="0000FF" w:themeColor="hyperlink"/>
            <w:sz w:val="20"/>
            <w:szCs w:val="20"/>
            <w:u w:val="single"/>
            <w:lang w:val="en-US"/>
          </w:rPr>
          <w:t>dpo@sussex.ac.uk</w:t>
        </w:r>
      </w:hyperlink>
    </w:p>
    <w:p w:rsidR="009C2FED" w:rsidRPr="00C63679" w:rsidRDefault="009C2FED" w:rsidP="009C2FED">
      <w:pPr>
        <w:pStyle w:val="NoSpacing"/>
        <w:ind w:left="426"/>
        <w:rPr>
          <w:rFonts w:eastAsiaTheme="minorHAnsi" w:cs="Arial"/>
          <w:sz w:val="20"/>
          <w:szCs w:val="20"/>
          <w:lang w:val="en-US"/>
        </w:rPr>
      </w:pPr>
      <w:r w:rsidRPr="00C63679">
        <w:rPr>
          <w:rFonts w:eastAsiaTheme="minorHAnsi" w:cs="Arial"/>
          <w:sz w:val="20"/>
          <w:szCs w:val="20"/>
          <w:lang w:val="en-US"/>
        </w:rPr>
        <w:lastRenderedPageBreak/>
        <w:t xml:space="preserve">For freedom of information related matters:  </w:t>
      </w:r>
      <w:r>
        <w:rPr>
          <w:rFonts w:eastAsiaTheme="minorHAnsi" w:cs="Arial"/>
          <w:sz w:val="20"/>
          <w:szCs w:val="20"/>
          <w:lang w:val="en-US"/>
        </w:rPr>
        <w:tab/>
      </w:r>
      <w:r>
        <w:rPr>
          <w:rFonts w:eastAsiaTheme="minorHAnsi" w:cs="Arial"/>
          <w:sz w:val="20"/>
          <w:szCs w:val="20"/>
          <w:lang w:val="en-US"/>
        </w:rPr>
        <w:tab/>
      </w:r>
      <w:r>
        <w:rPr>
          <w:rFonts w:eastAsiaTheme="minorHAnsi" w:cs="Arial"/>
          <w:sz w:val="20"/>
          <w:szCs w:val="20"/>
          <w:lang w:val="en-US"/>
        </w:rPr>
        <w:tab/>
      </w:r>
      <w:hyperlink r:id="rId18" w:history="1">
        <w:r w:rsidRPr="00C63679">
          <w:rPr>
            <w:rFonts w:eastAsiaTheme="minorHAnsi" w:cs="Arial"/>
            <w:color w:val="0000FF" w:themeColor="hyperlink"/>
            <w:sz w:val="20"/>
            <w:szCs w:val="20"/>
            <w:u w:val="single"/>
            <w:lang w:val="en-US"/>
          </w:rPr>
          <w:t>foi@sussex.ac.uk</w:t>
        </w:r>
      </w:hyperlink>
    </w:p>
    <w:p w:rsidR="00CA373D" w:rsidRDefault="009C2FED" w:rsidP="009C2FED">
      <w:pPr>
        <w:ind w:firstLine="426"/>
        <w:rPr>
          <w:rFonts w:eastAsiaTheme="minorHAnsi" w:cs="Arial"/>
          <w:color w:val="0000FF" w:themeColor="hyperlink"/>
          <w:sz w:val="20"/>
          <w:szCs w:val="20"/>
          <w:u w:val="single"/>
          <w:lang w:val="en-US"/>
        </w:rPr>
      </w:pPr>
      <w:r w:rsidRPr="00C63679">
        <w:rPr>
          <w:rFonts w:eastAsiaTheme="minorHAnsi" w:cs="Arial"/>
          <w:sz w:val="20"/>
          <w:szCs w:val="20"/>
          <w:lang w:val="en-US"/>
        </w:rPr>
        <w:t xml:space="preserve">For information security related matters: </w:t>
      </w:r>
      <w:r>
        <w:rPr>
          <w:rFonts w:eastAsiaTheme="minorHAnsi" w:cs="Arial"/>
          <w:sz w:val="20"/>
          <w:szCs w:val="20"/>
          <w:lang w:val="en-US"/>
        </w:rPr>
        <w:tab/>
      </w:r>
      <w:r>
        <w:rPr>
          <w:rFonts w:eastAsiaTheme="minorHAnsi" w:cs="Arial"/>
          <w:sz w:val="20"/>
          <w:szCs w:val="20"/>
          <w:lang w:val="en-US"/>
        </w:rPr>
        <w:tab/>
      </w:r>
      <w:r>
        <w:rPr>
          <w:rFonts w:eastAsiaTheme="minorHAnsi" w:cs="Arial"/>
          <w:sz w:val="20"/>
          <w:szCs w:val="20"/>
          <w:lang w:val="en-US"/>
        </w:rPr>
        <w:tab/>
      </w:r>
      <w:r>
        <w:rPr>
          <w:rFonts w:eastAsiaTheme="minorHAnsi" w:cs="Arial"/>
          <w:sz w:val="20"/>
          <w:szCs w:val="20"/>
          <w:lang w:val="en-US"/>
        </w:rPr>
        <w:tab/>
      </w:r>
      <w:hyperlink r:id="rId19" w:history="1">
        <w:r w:rsidRPr="00C63679">
          <w:rPr>
            <w:rFonts w:eastAsiaTheme="minorHAnsi" w:cs="Arial"/>
            <w:color w:val="0000FF" w:themeColor="hyperlink"/>
            <w:sz w:val="20"/>
            <w:szCs w:val="20"/>
            <w:u w:val="single"/>
            <w:lang w:val="en-US"/>
          </w:rPr>
          <w:t>infosec@sussex.ac.uk</w:t>
        </w:r>
      </w:hyperlink>
    </w:p>
    <w:p w:rsidR="00D96CA6" w:rsidRDefault="00D96CA6" w:rsidP="009C2FED">
      <w:pPr>
        <w:ind w:firstLine="426"/>
        <w:rPr>
          <w:rFonts w:eastAsiaTheme="minorHAnsi" w:cs="Arial"/>
          <w:color w:val="0000FF" w:themeColor="hyperlink"/>
          <w:sz w:val="20"/>
          <w:szCs w:val="20"/>
          <w:u w:val="single"/>
          <w:lang w:val="en-US"/>
        </w:rPr>
      </w:pPr>
    </w:p>
    <w:p w:rsidR="00D96CA6" w:rsidRDefault="00D96CA6" w:rsidP="009C2FED">
      <w:pPr>
        <w:ind w:firstLine="426"/>
        <w:rPr>
          <w:rFonts w:eastAsiaTheme="minorHAnsi" w:cs="Arial"/>
          <w:color w:val="0000FF" w:themeColor="hyperlink"/>
          <w:sz w:val="20"/>
          <w:szCs w:val="20"/>
          <w:u w:val="single"/>
          <w:lang w:val="en-US"/>
        </w:rPr>
      </w:pPr>
    </w:p>
    <w:p w:rsidR="00D96CA6" w:rsidRDefault="00D96CA6" w:rsidP="009C2FED">
      <w:pPr>
        <w:ind w:firstLine="426"/>
        <w:rPr>
          <w:rFonts w:eastAsiaTheme="minorHAnsi" w:cs="Arial"/>
          <w:color w:val="0000FF" w:themeColor="hyperlink"/>
          <w:sz w:val="20"/>
          <w:szCs w:val="20"/>
          <w:u w:val="single"/>
          <w:lang w:val="en-US"/>
        </w:rPr>
      </w:pPr>
    </w:p>
    <w:p w:rsidR="00D96CA6" w:rsidRDefault="00D96CA6" w:rsidP="009C2FED">
      <w:pPr>
        <w:ind w:firstLine="426"/>
        <w:rPr>
          <w:rFonts w:eastAsiaTheme="minorHAnsi" w:cs="Arial"/>
          <w:color w:val="0000FF" w:themeColor="hyperlink"/>
          <w:sz w:val="20"/>
          <w:szCs w:val="20"/>
          <w:u w:val="single"/>
          <w:lang w:val="en-US"/>
        </w:rPr>
      </w:pPr>
    </w:p>
    <w:p w:rsidR="00D96CA6" w:rsidRDefault="00D96CA6" w:rsidP="009C2FED">
      <w:pPr>
        <w:ind w:firstLine="426"/>
      </w:pPr>
      <w:r>
        <w:rPr>
          <w:rFonts w:eastAsiaTheme="minorHAnsi" w:cs="Arial"/>
          <w:color w:val="0000FF" w:themeColor="hyperlink"/>
          <w:sz w:val="20"/>
          <w:szCs w:val="20"/>
          <w:u w:val="single"/>
          <w:lang w:val="en-US"/>
        </w:rPr>
        <w:t>Updated November 2014</w:t>
      </w:r>
    </w:p>
    <w:sectPr w:rsidR="00D96CA6" w:rsidSect="009C2FED">
      <w:pgSz w:w="12240" w:h="15840"/>
      <w:pgMar w:top="1304" w:right="1440" w:bottom="119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FED" w:rsidRDefault="009C2FED" w:rsidP="009C2FED">
      <w:r>
        <w:separator/>
      </w:r>
    </w:p>
  </w:endnote>
  <w:endnote w:type="continuationSeparator" w:id="0">
    <w:p w:rsidR="009C2FED" w:rsidRDefault="009C2FED" w:rsidP="009C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FED" w:rsidRDefault="009C2FED" w:rsidP="009C2FED">
      <w:r>
        <w:separator/>
      </w:r>
    </w:p>
  </w:footnote>
  <w:footnote w:type="continuationSeparator" w:id="0">
    <w:p w:rsidR="009C2FED" w:rsidRDefault="009C2FED" w:rsidP="009C2FED">
      <w:r>
        <w:continuationSeparator/>
      </w:r>
    </w:p>
  </w:footnote>
  <w:footnote w:id="1">
    <w:p w:rsidR="009C2FED" w:rsidRPr="009C2FED" w:rsidRDefault="009C2FED">
      <w:pPr>
        <w:pStyle w:val="FootnoteText"/>
        <w:rPr>
          <w:rFonts w:ascii="Arial" w:hAnsi="Arial" w:cs="Arial"/>
          <w:sz w:val="18"/>
          <w:szCs w:val="18"/>
          <w:lang w:val="en-GB"/>
        </w:rPr>
      </w:pPr>
      <w:r>
        <w:rPr>
          <w:rStyle w:val="FootnoteReference"/>
        </w:rPr>
        <w:footnoteRef/>
      </w:r>
      <w:r>
        <w:t xml:space="preserve"> </w:t>
      </w:r>
      <w:r>
        <w:rPr>
          <w:rFonts w:ascii="Arial" w:hAnsi="Arial" w:cs="Arial"/>
        </w:rPr>
        <w:t>As approved by University Council’s 214</w:t>
      </w:r>
      <w:r w:rsidRPr="009C2FED">
        <w:rPr>
          <w:rFonts w:ascii="Arial" w:hAnsi="Arial" w:cs="Arial"/>
          <w:vertAlign w:val="superscript"/>
        </w:rPr>
        <w:t>th</w:t>
      </w:r>
      <w:r>
        <w:rPr>
          <w:rFonts w:ascii="Arial" w:hAnsi="Arial" w:cs="Arial"/>
        </w:rPr>
        <w:t xml:space="preserve"> meeting, November 2012. </w:t>
      </w:r>
    </w:p>
  </w:footnote>
  <w:footnote w:id="2">
    <w:p w:rsidR="009C2FED" w:rsidRPr="00CF57C9" w:rsidRDefault="009C2FED" w:rsidP="009C2FED">
      <w:pPr>
        <w:pStyle w:val="FootnoteText"/>
        <w:ind w:right="-563"/>
        <w:rPr>
          <w:sz w:val="18"/>
          <w:szCs w:val="18"/>
          <w:lang w:val="en-GB"/>
        </w:rPr>
      </w:pPr>
      <w:r w:rsidRPr="00CF57C9">
        <w:rPr>
          <w:rStyle w:val="FootnoteReference"/>
          <w:sz w:val="18"/>
          <w:szCs w:val="18"/>
        </w:rPr>
        <w:footnoteRef/>
      </w:r>
      <w:r w:rsidRPr="00CF57C9">
        <w:rPr>
          <w:sz w:val="18"/>
          <w:szCs w:val="18"/>
        </w:rPr>
        <w:t xml:space="preserve"> </w:t>
      </w:r>
      <w:r w:rsidRPr="00CF57C9">
        <w:rPr>
          <w:rFonts w:ascii="Arial" w:hAnsi="Arial" w:cs="Arial"/>
          <w:sz w:val="18"/>
          <w:szCs w:val="18"/>
        </w:rPr>
        <w:t>Except where business is mainly subject to the DPA, e.g. Student Discipline Committee and Remuneration Committee.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45984"/>
    <w:multiLevelType w:val="hybridMultilevel"/>
    <w:tmpl w:val="B83A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1B2596"/>
    <w:multiLevelType w:val="hybridMultilevel"/>
    <w:tmpl w:val="6D90A8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ED"/>
    <w:rsid w:val="00361090"/>
    <w:rsid w:val="00377E2B"/>
    <w:rsid w:val="00415CC5"/>
    <w:rsid w:val="0071470D"/>
    <w:rsid w:val="007A7D35"/>
    <w:rsid w:val="0082782E"/>
    <w:rsid w:val="009438A0"/>
    <w:rsid w:val="009C2FED"/>
    <w:rsid w:val="00D96CA6"/>
    <w:rsid w:val="00E10E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FED"/>
    <w:pPr>
      <w:spacing w:after="0" w:line="240" w:lineRule="auto"/>
    </w:pPr>
    <w:rPr>
      <w:rFonts w:ascii="Arial" w:eastAsia="Times New Roman" w:hAnsi="Arial"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FED"/>
    <w:pPr>
      <w:spacing w:after="0" w:line="240" w:lineRule="auto"/>
    </w:pPr>
    <w:rPr>
      <w:rFonts w:ascii="Arial" w:eastAsia="Times New Roman" w:hAnsi="Arial" w:cs="Times New Roman"/>
      <w:szCs w:val="24"/>
      <w:lang w:val="en-GB"/>
    </w:rPr>
  </w:style>
  <w:style w:type="character" w:styleId="FootnoteReference">
    <w:name w:val="footnote reference"/>
    <w:basedOn w:val="DefaultParagraphFont"/>
    <w:uiPriority w:val="99"/>
    <w:semiHidden/>
    <w:unhideWhenUsed/>
    <w:rsid w:val="009C2FED"/>
    <w:rPr>
      <w:vertAlign w:val="superscript"/>
    </w:rPr>
  </w:style>
  <w:style w:type="paragraph" w:styleId="FootnoteText">
    <w:name w:val="footnote text"/>
    <w:basedOn w:val="Normal"/>
    <w:link w:val="FootnoteTextChar"/>
    <w:uiPriority w:val="99"/>
    <w:semiHidden/>
    <w:unhideWhenUsed/>
    <w:rsid w:val="009C2FED"/>
    <w:rPr>
      <w:rFonts w:ascii="Cambria" w:eastAsia="Cambria" w:hAnsi="Cambria"/>
      <w:sz w:val="20"/>
      <w:szCs w:val="20"/>
      <w:lang w:val="en-US"/>
    </w:rPr>
  </w:style>
  <w:style w:type="character" w:customStyle="1" w:styleId="FootnoteTextChar">
    <w:name w:val="Footnote Text Char"/>
    <w:basedOn w:val="DefaultParagraphFont"/>
    <w:link w:val="FootnoteText"/>
    <w:uiPriority w:val="99"/>
    <w:semiHidden/>
    <w:rsid w:val="009C2FED"/>
    <w:rPr>
      <w:rFonts w:ascii="Cambria" w:eastAsia="Cambria" w:hAnsi="Cambria" w:cs="Times New Roman"/>
      <w:sz w:val="20"/>
      <w:szCs w:val="20"/>
    </w:rPr>
  </w:style>
  <w:style w:type="paragraph" w:styleId="BalloonText">
    <w:name w:val="Balloon Text"/>
    <w:basedOn w:val="Normal"/>
    <w:link w:val="BalloonTextChar"/>
    <w:uiPriority w:val="99"/>
    <w:semiHidden/>
    <w:unhideWhenUsed/>
    <w:rsid w:val="00D96CA6"/>
    <w:rPr>
      <w:rFonts w:ascii="Tahoma" w:hAnsi="Tahoma" w:cs="Tahoma"/>
      <w:sz w:val="16"/>
      <w:szCs w:val="16"/>
    </w:rPr>
  </w:style>
  <w:style w:type="character" w:customStyle="1" w:styleId="BalloonTextChar">
    <w:name w:val="Balloon Text Char"/>
    <w:basedOn w:val="DefaultParagraphFont"/>
    <w:link w:val="BalloonText"/>
    <w:uiPriority w:val="99"/>
    <w:semiHidden/>
    <w:rsid w:val="00D96CA6"/>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FED"/>
    <w:pPr>
      <w:spacing w:after="0" w:line="240" w:lineRule="auto"/>
    </w:pPr>
    <w:rPr>
      <w:rFonts w:ascii="Arial" w:eastAsia="Times New Roman" w:hAnsi="Arial"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FED"/>
    <w:pPr>
      <w:spacing w:after="0" w:line="240" w:lineRule="auto"/>
    </w:pPr>
    <w:rPr>
      <w:rFonts w:ascii="Arial" w:eastAsia="Times New Roman" w:hAnsi="Arial" w:cs="Times New Roman"/>
      <w:szCs w:val="24"/>
      <w:lang w:val="en-GB"/>
    </w:rPr>
  </w:style>
  <w:style w:type="character" w:styleId="FootnoteReference">
    <w:name w:val="footnote reference"/>
    <w:basedOn w:val="DefaultParagraphFont"/>
    <w:uiPriority w:val="99"/>
    <w:semiHidden/>
    <w:unhideWhenUsed/>
    <w:rsid w:val="009C2FED"/>
    <w:rPr>
      <w:vertAlign w:val="superscript"/>
    </w:rPr>
  </w:style>
  <w:style w:type="paragraph" w:styleId="FootnoteText">
    <w:name w:val="footnote text"/>
    <w:basedOn w:val="Normal"/>
    <w:link w:val="FootnoteTextChar"/>
    <w:uiPriority w:val="99"/>
    <w:semiHidden/>
    <w:unhideWhenUsed/>
    <w:rsid w:val="009C2FED"/>
    <w:rPr>
      <w:rFonts w:ascii="Cambria" w:eastAsia="Cambria" w:hAnsi="Cambria"/>
      <w:sz w:val="20"/>
      <w:szCs w:val="20"/>
      <w:lang w:val="en-US"/>
    </w:rPr>
  </w:style>
  <w:style w:type="character" w:customStyle="1" w:styleId="FootnoteTextChar">
    <w:name w:val="Footnote Text Char"/>
    <w:basedOn w:val="DefaultParagraphFont"/>
    <w:link w:val="FootnoteText"/>
    <w:uiPriority w:val="99"/>
    <w:semiHidden/>
    <w:rsid w:val="009C2FED"/>
    <w:rPr>
      <w:rFonts w:ascii="Cambria" w:eastAsia="Cambria" w:hAnsi="Cambria" w:cs="Times New Roman"/>
      <w:sz w:val="20"/>
      <w:szCs w:val="20"/>
    </w:rPr>
  </w:style>
  <w:style w:type="paragraph" w:styleId="BalloonText">
    <w:name w:val="Balloon Text"/>
    <w:basedOn w:val="Normal"/>
    <w:link w:val="BalloonTextChar"/>
    <w:uiPriority w:val="99"/>
    <w:semiHidden/>
    <w:unhideWhenUsed/>
    <w:rsid w:val="00D96CA6"/>
    <w:rPr>
      <w:rFonts w:ascii="Tahoma" w:hAnsi="Tahoma" w:cs="Tahoma"/>
      <w:sz w:val="16"/>
      <w:szCs w:val="16"/>
    </w:rPr>
  </w:style>
  <w:style w:type="character" w:customStyle="1" w:styleId="BalloonTextChar">
    <w:name w:val="Balloon Text Char"/>
    <w:basedOn w:val="DefaultParagraphFont"/>
    <w:link w:val="BalloonText"/>
    <w:uiPriority w:val="99"/>
    <w:semiHidden/>
    <w:rsid w:val="00D96CA6"/>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ssex.ac.uk/ogs/governance/recordsmanagement/dpa/dataprotectionstaff/requestinformation" TargetMode="External"/><Relationship Id="rId18" Type="http://schemas.openxmlformats.org/officeDocument/2006/relationships/hyperlink" Target="mailto:foi@sussex.ac.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ussex.ac.uk/ogs/governance/recordsmanagement/dpa/dataprotectionstudents/requestinformation" TargetMode="External"/><Relationship Id="rId17" Type="http://schemas.openxmlformats.org/officeDocument/2006/relationships/hyperlink" Target="mailto:dpo@sussex.ac.uk" TargetMode="External"/><Relationship Id="rId2" Type="http://schemas.openxmlformats.org/officeDocument/2006/relationships/numbering" Target="numbering.xml"/><Relationship Id="rId16" Type="http://schemas.openxmlformats.org/officeDocument/2006/relationships/hyperlink" Target="http://www.sussex.ac.uk/ogs/governance/records-management/recordsmanagementguida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ssex.ac.uk/ogs/governance/recordsmanagement/dpa/dataprotectionstaff/guidelinesstudentdata" TargetMode="External"/><Relationship Id="rId5" Type="http://schemas.openxmlformats.org/officeDocument/2006/relationships/settings" Target="settings.xml"/><Relationship Id="rId15" Type="http://schemas.openxmlformats.org/officeDocument/2006/relationships/hyperlink" Target="http://www.sussex.ac.uk/ogs/governance/recordsmanagement/foi" TargetMode="External"/><Relationship Id="rId10" Type="http://schemas.openxmlformats.org/officeDocument/2006/relationships/hyperlink" Target="http://www.sussex.ac.uk/infosec/policies" TargetMode="External"/><Relationship Id="rId19" Type="http://schemas.openxmlformats.org/officeDocument/2006/relationships/hyperlink" Target="mailto:infosec@sussex.ac.uk" TargetMode="External"/><Relationship Id="rId4" Type="http://schemas.microsoft.com/office/2007/relationships/stylesWithEffects" Target="stylesWithEffects.xml"/><Relationship Id="rId9" Type="http://schemas.openxmlformats.org/officeDocument/2006/relationships/hyperlink" Target="http://www.sussex.ac.uk/ogs/governance/recordsmanagement/recordsmanagementguidance" TargetMode="External"/><Relationship Id="rId14" Type="http://schemas.openxmlformats.org/officeDocument/2006/relationships/hyperlink" Target="http://www.sussex.ac.uk/ogs/governance/recordsmanagement/foi/publication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A388F-7040-4393-ACE9-43F393C48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BB48F749</Template>
  <TotalTime>0</TotalTime>
  <Pages>4</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10686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Richards</dc:creator>
  <cp:lastModifiedBy>Alice Robertson</cp:lastModifiedBy>
  <cp:revision>2</cp:revision>
  <dcterms:created xsi:type="dcterms:W3CDTF">2014-11-19T15:15:00Z</dcterms:created>
  <dcterms:modified xsi:type="dcterms:W3CDTF">2014-11-19T15:15:00Z</dcterms:modified>
</cp:coreProperties>
</file>