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EF7" w:rsidRDefault="00FD0EF7" w:rsidP="00FD0EF7">
      <w:pPr>
        <w:jc w:val="center"/>
        <w:rPr>
          <w:rFonts w:ascii="Arial" w:hAnsi="Arial"/>
        </w:rPr>
      </w:pPr>
      <w:bookmarkStart w:id="0" w:name="_GoBack"/>
      <w:bookmarkEnd w:id="0"/>
      <w:r>
        <w:rPr>
          <w:rFonts w:ascii="Arial" w:hAnsi="Arial"/>
        </w:rPr>
        <w:t>Usage statistics – January 2013 -&gt; May 20</w:t>
      </w:r>
      <w:r w:rsidRPr="00FD0EF7">
        <w:rPr>
          <w:rFonts w:ascii="Arial" w:hAnsi="Arial"/>
          <w:vertAlign w:val="superscript"/>
        </w:rPr>
        <w:t>th</w:t>
      </w:r>
      <w:r>
        <w:rPr>
          <w:rFonts w:ascii="Arial" w:hAnsi="Arial"/>
        </w:rPr>
        <w:t xml:space="preserve"> 2013</w:t>
      </w:r>
    </w:p>
    <w:p w:rsidR="00FD0EF7" w:rsidRDefault="00FD0EF7" w:rsidP="00FD0EF7">
      <w:pPr>
        <w:jc w:val="center"/>
        <w:rPr>
          <w:rFonts w:ascii="Arial" w:hAnsi="Arial"/>
        </w:rPr>
      </w:pPr>
    </w:p>
    <w:p w:rsidR="00FD0EF7" w:rsidRDefault="00FD0EF7" w:rsidP="00FD0EF7">
      <w:pPr>
        <w:jc w:val="center"/>
        <w:rPr>
          <w:rFonts w:ascii="Arial" w:hAnsi="Arial"/>
        </w:rPr>
      </w:pPr>
      <w:r>
        <w:rPr>
          <w:noProof/>
          <w:lang w:val="en-US" w:eastAsia="en-US"/>
        </w:rPr>
        <w:drawing>
          <wp:inline distT="0" distB="0" distL="0" distR="0" wp14:anchorId="3E6010C3" wp14:editId="066FD8F1">
            <wp:extent cx="4852035" cy="2939203"/>
            <wp:effectExtent l="0" t="0" r="24765" b="3302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FD0EF7" w:rsidRDefault="00FD0EF7" w:rsidP="00FD0EF7">
      <w:pPr>
        <w:jc w:val="center"/>
        <w:rPr>
          <w:rFonts w:ascii="Arial" w:hAnsi="Arial"/>
        </w:rPr>
      </w:pPr>
    </w:p>
    <w:p w:rsidR="00FD0EF7" w:rsidRDefault="00FD0EF7" w:rsidP="00FD0EF7">
      <w:pPr>
        <w:jc w:val="center"/>
        <w:rPr>
          <w:rFonts w:ascii="Arial" w:hAnsi="Arial"/>
        </w:rPr>
      </w:pPr>
    </w:p>
    <w:p w:rsidR="00E2081C" w:rsidRDefault="00AF0C02" w:rsidP="00FD0EF7">
      <w:pPr>
        <w:jc w:val="center"/>
        <w:rPr>
          <w:rFonts w:ascii="Arial" w:hAnsi="Arial"/>
        </w:rPr>
      </w:pPr>
      <w:r>
        <w:rPr>
          <w:noProof/>
          <w:lang w:val="en-US" w:eastAsia="en-US"/>
        </w:rPr>
        <w:drawing>
          <wp:inline distT="0" distB="0" distL="0" distR="0" wp14:anchorId="0BE24FB3" wp14:editId="041837B5">
            <wp:extent cx="4852035" cy="2525607"/>
            <wp:effectExtent l="0" t="0" r="24765" b="1460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FD0EF7" w:rsidRDefault="00FD0EF7" w:rsidP="00FD0EF7">
      <w:pPr>
        <w:jc w:val="center"/>
        <w:rPr>
          <w:rFonts w:ascii="Arial" w:hAnsi="Arial"/>
        </w:rPr>
      </w:pPr>
    </w:p>
    <w:p w:rsidR="00AF0C02" w:rsidRDefault="00AF0C02" w:rsidP="00FD0EF7">
      <w:pPr>
        <w:jc w:val="center"/>
        <w:rPr>
          <w:rFonts w:ascii="Arial" w:hAnsi="Arial"/>
        </w:rPr>
      </w:pPr>
    </w:p>
    <w:p w:rsidR="00AF0C02" w:rsidRPr="009E7065" w:rsidRDefault="00AF0C02" w:rsidP="00FD0EF7">
      <w:pPr>
        <w:jc w:val="center"/>
        <w:rPr>
          <w:rFonts w:ascii="Arial" w:hAnsi="Arial"/>
        </w:rPr>
      </w:pPr>
      <w:r>
        <w:rPr>
          <w:noProof/>
          <w:lang w:val="en-US" w:eastAsia="en-US"/>
        </w:rPr>
        <w:drawing>
          <wp:inline distT="0" distB="0" distL="0" distR="0" wp14:anchorId="301DDEA4" wp14:editId="04F302C9">
            <wp:extent cx="4852035" cy="2415540"/>
            <wp:effectExtent l="0" t="0" r="24765" b="2286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sectPr w:rsidR="00AF0C02" w:rsidRPr="009E7065" w:rsidSect="00FD0EF7">
      <w:pgSz w:w="11901" w:h="16840"/>
      <w:pgMar w:top="851" w:right="1134" w:bottom="851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A16D12"/>
    <w:multiLevelType w:val="multilevel"/>
    <w:tmpl w:val="B0B0EE40"/>
    <w:styleLink w:val="CurrentList1"/>
    <w:lvl w:ilvl="0">
      <w:start w:val="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4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1440"/>
        </w:tabs>
        <w:ind w:left="1440" w:hanging="504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C02"/>
    <w:rsid w:val="000142D7"/>
    <w:rsid w:val="000D4EAC"/>
    <w:rsid w:val="00745616"/>
    <w:rsid w:val="0076083A"/>
    <w:rsid w:val="0076574E"/>
    <w:rsid w:val="00843057"/>
    <w:rsid w:val="009E7065"/>
    <w:rsid w:val="00AF0C02"/>
    <w:rsid w:val="00B366B6"/>
    <w:rsid w:val="00C11C56"/>
    <w:rsid w:val="00D676F8"/>
    <w:rsid w:val="00DD33DA"/>
    <w:rsid w:val="00E2081C"/>
    <w:rsid w:val="00E64092"/>
    <w:rsid w:val="00F76959"/>
    <w:rsid w:val="00FD0EF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2A0"/>
    <w:rPr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CurrentList1">
    <w:name w:val="Current List1"/>
    <w:rsid w:val="009B6C27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0C0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C02"/>
    <w:rPr>
      <w:rFonts w:ascii="Lucida Grande" w:hAnsi="Lucida Grande" w:cs="Lucida Grande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2A0"/>
    <w:rPr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CurrentList1">
    <w:name w:val="Current List1"/>
    <w:rsid w:val="009B6C27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0C0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C02"/>
    <w:rPr>
      <w:rFonts w:ascii="Lucida Grande" w:hAnsi="Lucida Grande" w:cs="Lucida Grande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chart" Target="charts/chart1.xml"/><Relationship Id="rId7" Type="http://schemas.openxmlformats.org/officeDocument/2006/relationships/chart" Target="charts/chart2.xml"/><Relationship Id="rId8" Type="http://schemas.openxmlformats.org/officeDocument/2006/relationships/chart" Target="charts/chart3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its010746:Users:jeremym:Documents:HPC_Usage_Jan-May2013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its010746:Users:jeremym:Documents:HPC_Usage_Jan-May2013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its010746:Users:jeremym:Documents:HPC_Usage_Jan-May2013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 Users by Department</a:t>
            </a:r>
          </a:p>
        </c:rich>
      </c:tx>
      <c:layout/>
      <c:overlay val="0"/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Sheet1!$O$59</c:f>
              <c:strCache>
                <c:ptCount val="1"/>
                <c:pt idx="0">
                  <c:v>batch users</c:v>
                </c:pt>
              </c:strCache>
            </c:strRef>
          </c:tx>
          <c:invertIfNegative val="0"/>
          <c:cat>
            <c:strRef>
              <c:f>Sheet1!$N$60:$N$70</c:f>
              <c:strCache>
                <c:ptCount val="11"/>
                <c:pt idx="0">
                  <c:v>Psych</c:v>
                </c:pt>
                <c:pt idx="1">
                  <c:v>PACT</c:v>
                </c:pt>
                <c:pt idx="2">
                  <c:v>Maths</c:v>
                </c:pt>
                <c:pt idx="3">
                  <c:v>INF</c:v>
                </c:pt>
                <c:pt idx="4">
                  <c:v>Geog</c:v>
                </c:pt>
                <c:pt idx="5">
                  <c:v>EPP</c:v>
                </c:pt>
                <c:pt idx="6">
                  <c:v>EngDes</c:v>
                </c:pt>
                <c:pt idx="7">
                  <c:v>Chem</c:v>
                </c:pt>
                <c:pt idx="8">
                  <c:v>BSMS</c:v>
                </c:pt>
                <c:pt idx="9">
                  <c:v>BioEnv</c:v>
                </c:pt>
                <c:pt idx="10">
                  <c:v>Biochem</c:v>
                </c:pt>
              </c:strCache>
            </c:strRef>
          </c:cat>
          <c:val>
            <c:numRef>
              <c:f>Sheet1!$O$60:$O$70</c:f>
              <c:numCache>
                <c:formatCode>General</c:formatCode>
                <c:ptCount val="11"/>
                <c:pt idx="0">
                  <c:v>6.0</c:v>
                </c:pt>
                <c:pt idx="1">
                  <c:v>2.0</c:v>
                </c:pt>
                <c:pt idx="2">
                  <c:v>5.0</c:v>
                </c:pt>
                <c:pt idx="3">
                  <c:v>21.0</c:v>
                </c:pt>
                <c:pt idx="4">
                  <c:v>1.0</c:v>
                </c:pt>
                <c:pt idx="5">
                  <c:v>15.0</c:v>
                </c:pt>
                <c:pt idx="6">
                  <c:v>5.0</c:v>
                </c:pt>
                <c:pt idx="7">
                  <c:v>13.0</c:v>
                </c:pt>
                <c:pt idx="8">
                  <c:v>3.0</c:v>
                </c:pt>
                <c:pt idx="9">
                  <c:v>2.0</c:v>
                </c:pt>
                <c:pt idx="10">
                  <c:v>2.0</c:v>
                </c:pt>
              </c:numCache>
            </c:numRef>
          </c:val>
        </c:ser>
        <c:ser>
          <c:idx val="1"/>
          <c:order val="1"/>
          <c:tx>
            <c:strRef>
              <c:f>Sheet1!$P$59</c:f>
              <c:strCache>
                <c:ptCount val="1"/>
                <c:pt idx="0">
                  <c:v>total users</c:v>
                </c:pt>
              </c:strCache>
            </c:strRef>
          </c:tx>
          <c:invertIfNegative val="0"/>
          <c:cat>
            <c:strRef>
              <c:f>Sheet1!$N$60:$N$70</c:f>
              <c:strCache>
                <c:ptCount val="11"/>
                <c:pt idx="0">
                  <c:v>Psych</c:v>
                </c:pt>
                <c:pt idx="1">
                  <c:v>PACT</c:v>
                </c:pt>
                <c:pt idx="2">
                  <c:v>Maths</c:v>
                </c:pt>
                <c:pt idx="3">
                  <c:v>INF</c:v>
                </c:pt>
                <c:pt idx="4">
                  <c:v>Geog</c:v>
                </c:pt>
                <c:pt idx="5">
                  <c:v>EPP</c:v>
                </c:pt>
                <c:pt idx="6">
                  <c:v>EngDes</c:v>
                </c:pt>
                <c:pt idx="7">
                  <c:v>Chem</c:v>
                </c:pt>
                <c:pt idx="8">
                  <c:v>BSMS</c:v>
                </c:pt>
                <c:pt idx="9">
                  <c:v>BioEnv</c:v>
                </c:pt>
                <c:pt idx="10">
                  <c:v>Biochem</c:v>
                </c:pt>
              </c:strCache>
            </c:strRef>
          </c:cat>
          <c:val>
            <c:numRef>
              <c:f>Sheet1!$P$60:$P$70</c:f>
              <c:numCache>
                <c:formatCode>General</c:formatCode>
                <c:ptCount val="11"/>
                <c:pt idx="0">
                  <c:v>6.0</c:v>
                </c:pt>
                <c:pt idx="1">
                  <c:v>12.0</c:v>
                </c:pt>
                <c:pt idx="2">
                  <c:v>6.0</c:v>
                </c:pt>
                <c:pt idx="3">
                  <c:v>21.0</c:v>
                </c:pt>
                <c:pt idx="4">
                  <c:v>5.0</c:v>
                </c:pt>
                <c:pt idx="5">
                  <c:v>25.0</c:v>
                </c:pt>
                <c:pt idx="6">
                  <c:v>9.0</c:v>
                </c:pt>
                <c:pt idx="7">
                  <c:v>17.0</c:v>
                </c:pt>
                <c:pt idx="8">
                  <c:v>3.0</c:v>
                </c:pt>
                <c:pt idx="9">
                  <c:v>3.0</c:v>
                </c:pt>
                <c:pt idx="10">
                  <c:v>2.0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33436536"/>
        <c:axId val="533211352"/>
      </c:barChart>
      <c:catAx>
        <c:axId val="533436536"/>
        <c:scaling>
          <c:orientation val="minMax"/>
        </c:scaling>
        <c:delete val="0"/>
        <c:axPos val="l"/>
        <c:majorTickMark val="out"/>
        <c:minorTickMark val="none"/>
        <c:tickLblPos val="nextTo"/>
        <c:crossAx val="533211352"/>
        <c:crosses val="autoZero"/>
        <c:auto val="1"/>
        <c:lblAlgn val="ctr"/>
        <c:lblOffset val="100"/>
        <c:noMultiLvlLbl val="0"/>
      </c:catAx>
      <c:valAx>
        <c:axId val="533211352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533436536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spPr>
    <a:solidFill>
      <a:schemeClr val="lt1"/>
    </a:solidFill>
    <a:ln w="25400" cap="flat" cmpd="sng" algn="ctr">
      <a:solidFill>
        <a:schemeClr val="dk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 Cluster usage by School/Dept</a:t>
            </a:r>
          </a:p>
        </c:rich>
      </c:tx>
      <c:layout/>
      <c:overlay val="0"/>
    </c:title>
    <c:autoTitleDeleted val="0"/>
    <c:plotArea>
      <c:layout>
        <c:manualLayout>
          <c:layoutTarget val="inner"/>
          <c:xMode val="edge"/>
          <c:yMode val="edge"/>
          <c:x val="0.15162972122711"/>
          <c:y val="0.15092936802974"/>
          <c:w val="0.65938862722991"/>
          <c:h val="0.736257939876475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Sheet1!$L$18</c:f>
              <c:strCache>
                <c:ptCount val="1"/>
                <c:pt idx="0">
                  <c:v>wallclock S</c:v>
                </c:pt>
              </c:strCache>
            </c:strRef>
          </c:tx>
          <c:invertIfNegative val="0"/>
          <c:cat>
            <c:strRef>
              <c:f>Sheet1!$K$19:$K$30</c:f>
              <c:strCache>
                <c:ptCount val="12"/>
                <c:pt idx="0">
                  <c:v>Psych</c:v>
                </c:pt>
                <c:pt idx="1">
                  <c:v>PACT</c:v>
                </c:pt>
                <c:pt idx="2">
                  <c:v>Maths</c:v>
                </c:pt>
                <c:pt idx="3">
                  <c:v>INF</c:v>
                </c:pt>
                <c:pt idx="4">
                  <c:v>GRIDPP</c:v>
                </c:pt>
                <c:pt idx="5">
                  <c:v>Geog</c:v>
                </c:pt>
                <c:pt idx="6">
                  <c:v>EPP</c:v>
                </c:pt>
                <c:pt idx="7">
                  <c:v>EngDes</c:v>
                </c:pt>
                <c:pt idx="8">
                  <c:v>Chem</c:v>
                </c:pt>
                <c:pt idx="9">
                  <c:v>BSMS</c:v>
                </c:pt>
                <c:pt idx="10">
                  <c:v>BioEnv</c:v>
                </c:pt>
                <c:pt idx="11">
                  <c:v>Biochem</c:v>
                </c:pt>
              </c:strCache>
            </c:strRef>
          </c:cat>
          <c:val>
            <c:numRef>
              <c:f>Sheet1!$L$19:$L$30</c:f>
              <c:numCache>
                <c:formatCode>0</c:formatCode>
                <c:ptCount val="12"/>
                <c:pt idx="0">
                  <c:v>1.25342453E8</c:v>
                </c:pt>
                <c:pt idx="1">
                  <c:v>384542.0</c:v>
                </c:pt>
                <c:pt idx="2">
                  <c:v>1.9398089E7</c:v>
                </c:pt>
                <c:pt idx="3">
                  <c:v>8.51177804E8</c:v>
                </c:pt>
                <c:pt idx="4">
                  <c:v>8.81292632E8</c:v>
                </c:pt>
                <c:pt idx="5">
                  <c:v>2.539559E6</c:v>
                </c:pt>
                <c:pt idx="6">
                  <c:v>1.80015836E8</c:v>
                </c:pt>
                <c:pt idx="7">
                  <c:v>1.9661182E7</c:v>
                </c:pt>
                <c:pt idx="8">
                  <c:v>2.66857275E8</c:v>
                </c:pt>
                <c:pt idx="9">
                  <c:v>1.8637125E7</c:v>
                </c:pt>
                <c:pt idx="10">
                  <c:v>3.626572E6</c:v>
                </c:pt>
                <c:pt idx="11">
                  <c:v>2.7050027E7</c:v>
                </c:pt>
              </c:numCache>
            </c:numRef>
          </c:val>
        </c:ser>
        <c:ser>
          <c:idx val="1"/>
          <c:order val="1"/>
          <c:tx>
            <c:strRef>
              <c:f>Sheet1!$M$18</c:f>
              <c:strCache>
                <c:ptCount val="1"/>
                <c:pt idx="0">
                  <c:v>cpu S</c:v>
                </c:pt>
              </c:strCache>
            </c:strRef>
          </c:tx>
          <c:invertIfNegative val="0"/>
          <c:cat>
            <c:strRef>
              <c:f>Sheet1!$K$19:$K$30</c:f>
              <c:strCache>
                <c:ptCount val="12"/>
                <c:pt idx="0">
                  <c:v>Psych</c:v>
                </c:pt>
                <c:pt idx="1">
                  <c:v>PACT</c:v>
                </c:pt>
                <c:pt idx="2">
                  <c:v>Maths</c:v>
                </c:pt>
                <c:pt idx="3">
                  <c:v>INF</c:v>
                </c:pt>
                <c:pt idx="4">
                  <c:v>GRIDPP</c:v>
                </c:pt>
                <c:pt idx="5">
                  <c:v>Geog</c:v>
                </c:pt>
                <c:pt idx="6">
                  <c:v>EPP</c:v>
                </c:pt>
                <c:pt idx="7">
                  <c:v>EngDes</c:v>
                </c:pt>
                <c:pt idx="8">
                  <c:v>Chem</c:v>
                </c:pt>
                <c:pt idx="9">
                  <c:v>BSMS</c:v>
                </c:pt>
                <c:pt idx="10">
                  <c:v>BioEnv</c:v>
                </c:pt>
                <c:pt idx="11">
                  <c:v>Biochem</c:v>
                </c:pt>
              </c:strCache>
            </c:strRef>
          </c:cat>
          <c:val>
            <c:numRef>
              <c:f>Sheet1!$M$19:$M$30</c:f>
              <c:numCache>
                <c:formatCode>0</c:formatCode>
                <c:ptCount val="12"/>
                <c:pt idx="0">
                  <c:v>1.10398364561E8</c:v>
                </c:pt>
                <c:pt idx="1">
                  <c:v>6.347110906E6</c:v>
                </c:pt>
                <c:pt idx="2">
                  <c:v>2.9359053115E7</c:v>
                </c:pt>
                <c:pt idx="3">
                  <c:v>1.049130286059E9</c:v>
                </c:pt>
                <c:pt idx="4">
                  <c:v>7.62146154961E8</c:v>
                </c:pt>
                <c:pt idx="5">
                  <c:v>2.3912342742E7</c:v>
                </c:pt>
                <c:pt idx="6">
                  <c:v>2.82918153208E8</c:v>
                </c:pt>
                <c:pt idx="7">
                  <c:v>2.83653214194E8</c:v>
                </c:pt>
                <c:pt idx="8">
                  <c:v>1.039527270455E9</c:v>
                </c:pt>
                <c:pt idx="9">
                  <c:v>1.6195685936E7</c:v>
                </c:pt>
                <c:pt idx="10">
                  <c:v>5.063023494E6</c:v>
                </c:pt>
                <c:pt idx="11">
                  <c:v>1.7631790876E7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32711224"/>
        <c:axId val="532714264"/>
      </c:barChart>
      <c:catAx>
        <c:axId val="532711224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532714264"/>
        <c:crosses val="autoZero"/>
        <c:auto val="1"/>
        <c:lblAlgn val="ctr"/>
        <c:lblOffset val="100"/>
        <c:noMultiLvlLbl val="0"/>
      </c:catAx>
      <c:valAx>
        <c:axId val="532714264"/>
        <c:scaling>
          <c:orientation val="minMax"/>
        </c:scaling>
        <c:delete val="0"/>
        <c:axPos val="b"/>
        <c:majorGridlines/>
        <c:numFmt formatCode="0" sourceLinked="1"/>
        <c:majorTickMark val="out"/>
        <c:minorTickMark val="none"/>
        <c:tickLblPos val="nextTo"/>
        <c:crossAx val="532711224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spPr>
    <a:solidFill>
      <a:schemeClr val="lt1"/>
    </a:solidFill>
    <a:ln w="25400" cap="flat" cmpd="sng" algn="ctr">
      <a:solidFill>
        <a:schemeClr val="dk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RT and email support requests</a:t>
            </a:r>
          </a:p>
        </c:rich>
      </c:tx>
      <c:layout>
        <c:manualLayout>
          <c:xMode val="edge"/>
          <c:yMode val="edge"/>
          <c:x val="0.154243940944367"/>
          <c:y val="0.0"/>
        </c:manualLayout>
      </c:layout>
      <c:overlay val="0"/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invertIfNegative val="0"/>
          <c:cat>
            <c:strRef>
              <c:f>Sheet1!$P$123:$P$131</c:f>
              <c:strCache>
                <c:ptCount val="9"/>
                <c:pt idx="0">
                  <c:v>psych</c:v>
                </c:pt>
                <c:pt idx="1">
                  <c:v>physics</c:v>
                </c:pt>
                <c:pt idx="2">
                  <c:v>maths</c:v>
                </c:pt>
                <c:pt idx="3">
                  <c:v>lifesci</c:v>
                </c:pt>
                <c:pt idx="4">
                  <c:v>inf</c:v>
                </c:pt>
                <c:pt idx="5">
                  <c:v>geog</c:v>
                </c:pt>
                <c:pt idx="6">
                  <c:v>engdes</c:v>
                </c:pt>
                <c:pt idx="7">
                  <c:v>bsms</c:v>
                </c:pt>
                <c:pt idx="8">
                  <c:v>others</c:v>
                </c:pt>
              </c:strCache>
            </c:strRef>
          </c:cat>
          <c:val>
            <c:numRef>
              <c:f>Sheet1!$Q$123:$Q$131</c:f>
              <c:numCache>
                <c:formatCode>General</c:formatCode>
                <c:ptCount val="9"/>
                <c:pt idx="0">
                  <c:v>4.0</c:v>
                </c:pt>
                <c:pt idx="1">
                  <c:v>4.0</c:v>
                </c:pt>
                <c:pt idx="2">
                  <c:v>8.0</c:v>
                </c:pt>
                <c:pt idx="3">
                  <c:v>36.0</c:v>
                </c:pt>
                <c:pt idx="4">
                  <c:v>16.0</c:v>
                </c:pt>
                <c:pt idx="5">
                  <c:v>8.0</c:v>
                </c:pt>
                <c:pt idx="6">
                  <c:v>9.0</c:v>
                </c:pt>
                <c:pt idx="7">
                  <c:v>4.0</c:v>
                </c:pt>
                <c:pt idx="8">
                  <c:v>9.0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32742712"/>
        <c:axId val="532745656"/>
      </c:barChart>
      <c:catAx>
        <c:axId val="532742712"/>
        <c:scaling>
          <c:orientation val="minMax"/>
        </c:scaling>
        <c:delete val="0"/>
        <c:axPos val="l"/>
        <c:majorTickMark val="out"/>
        <c:minorTickMark val="none"/>
        <c:tickLblPos val="nextTo"/>
        <c:crossAx val="532745656"/>
        <c:crosses val="autoZero"/>
        <c:auto val="1"/>
        <c:lblAlgn val="ctr"/>
        <c:lblOffset val="100"/>
        <c:noMultiLvlLbl val="0"/>
      </c:catAx>
      <c:valAx>
        <c:axId val="532745656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532742712"/>
        <c:crosses val="autoZero"/>
        <c:crossBetween val="between"/>
      </c:valAx>
    </c:plotArea>
    <c:plotVisOnly val="1"/>
    <c:dispBlanksAs val="gap"/>
    <c:showDLblsOverMax val="0"/>
  </c:chart>
  <c:spPr>
    <a:solidFill>
      <a:schemeClr val="lt1"/>
    </a:solidFill>
    <a:ln w="25400" cap="flat" cmpd="sng" algn="ctr">
      <a:solidFill>
        <a:schemeClr val="dk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jeremy maris</dc:creator>
  <cp:lastModifiedBy>Chris</cp:lastModifiedBy>
  <cp:revision>2</cp:revision>
  <cp:lastPrinted>2013-05-21T16:45:00Z</cp:lastPrinted>
  <dcterms:created xsi:type="dcterms:W3CDTF">2013-05-24T15:09:00Z</dcterms:created>
  <dcterms:modified xsi:type="dcterms:W3CDTF">2013-05-24T15:09:00Z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-1050085784</vt:i4>
  </property>
  <property fmtid="{D5CDD505-2E9C-101B-9397-08002B2CF9AE}" pid="3" name="_NewReviewCycle">
    <vt:lpwstr/>
  </property>
  <property fmtid="{D5CDD505-2E9C-101B-9397-08002B2CF9AE}" pid="4" name="_EmailSubject">
    <vt:lpwstr>[sussex.ac.uk #151693] Update to ITS Research web page please </vt:lpwstr>
  </property>
  <property fmtid="{D5CDD505-2E9C-101B-9397-08002B2CF9AE}" pid="5" name="_AuthorEmail">
    <vt:lpwstr>c.c.house@sussex.ac.uk</vt:lpwstr>
  </property>
  <property fmtid="{D5CDD505-2E9C-101B-9397-08002B2CF9AE}" pid="6" name="_AuthorEmailDisplayName">
    <vt:lpwstr>Caroline House</vt:lpwstr>
  </property>
</Properties>
</file>