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038" w:rsidRDefault="001E3038" w:rsidP="00B82898">
      <w:pPr>
        <w:autoSpaceDE w:val="0"/>
        <w:autoSpaceDN w:val="0"/>
        <w:adjustRightInd w:val="0"/>
        <w:spacing w:after="0" w:line="240" w:lineRule="auto"/>
        <w:jc w:val="center"/>
        <w:rPr>
          <w:rFonts w:asciiTheme="minorBidi" w:hAnsiTheme="minorBidi"/>
          <w:b/>
          <w:bCs/>
          <w:sz w:val="24"/>
          <w:szCs w:val="24"/>
        </w:rPr>
      </w:pPr>
      <w:r w:rsidRPr="00B82898">
        <w:rPr>
          <w:rFonts w:asciiTheme="minorBidi" w:hAnsiTheme="minorBidi"/>
          <w:b/>
          <w:bCs/>
          <w:sz w:val="24"/>
          <w:szCs w:val="24"/>
        </w:rPr>
        <w:t>Transforming legal aid: delivering a</w:t>
      </w:r>
      <w:r w:rsidR="00B82898" w:rsidRPr="00B82898">
        <w:rPr>
          <w:rFonts w:asciiTheme="minorBidi" w:hAnsiTheme="minorBidi"/>
          <w:b/>
          <w:bCs/>
          <w:sz w:val="24"/>
          <w:szCs w:val="24"/>
        </w:rPr>
        <w:t xml:space="preserve"> </w:t>
      </w:r>
      <w:r w:rsidRPr="00B82898">
        <w:rPr>
          <w:rFonts w:asciiTheme="minorBidi" w:hAnsiTheme="minorBidi"/>
          <w:b/>
          <w:bCs/>
          <w:sz w:val="24"/>
          <w:szCs w:val="24"/>
        </w:rPr>
        <w:t>more credible and efficient system</w:t>
      </w:r>
    </w:p>
    <w:p w:rsidR="00B82898" w:rsidRPr="00B82898" w:rsidRDefault="00B82898" w:rsidP="00B82898">
      <w:pPr>
        <w:autoSpaceDE w:val="0"/>
        <w:autoSpaceDN w:val="0"/>
        <w:adjustRightInd w:val="0"/>
        <w:spacing w:after="0" w:line="240" w:lineRule="auto"/>
        <w:jc w:val="center"/>
        <w:rPr>
          <w:rFonts w:asciiTheme="minorBidi" w:hAnsiTheme="minorBidi"/>
          <w:b/>
          <w:bCs/>
          <w:sz w:val="24"/>
          <w:szCs w:val="24"/>
        </w:rPr>
      </w:pPr>
    </w:p>
    <w:p w:rsidR="00B82898" w:rsidRDefault="001E3038" w:rsidP="00B82898">
      <w:pPr>
        <w:jc w:val="center"/>
        <w:rPr>
          <w:rFonts w:asciiTheme="minorBidi" w:hAnsiTheme="minorBidi"/>
          <w:b/>
          <w:bCs/>
          <w:sz w:val="24"/>
          <w:szCs w:val="24"/>
        </w:rPr>
      </w:pPr>
      <w:r w:rsidRPr="00B82898">
        <w:rPr>
          <w:rFonts w:asciiTheme="minorBidi" w:hAnsiTheme="minorBidi"/>
          <w:b/>
          <w:bCs/>
          <w:sz w:val="24"/>
          <w:szCs w:val="24"/>
        </w:rPr>
        <w:t xml:space="preserve">A Response to the Ministry of Justice Consultation Paper CP14/2013 </w:t>
      </w:r>
    </w:p>
    <w:p w:rsidR="00092625" w:rsidRPr="00B82898" w:rsidRDefault="001E3038" w:rsidP="00F50EC2">
      <w:pPr>
        <w:jc w:val="center"/>
        <w:rPr>
          <w:rFonts w:asciiTheme="minorBidi" w:hAnsiTheme="minorBidi"/>
          <w:b/>
          <w:bCs/>
          <w:sz w:val="24"/>
          <w:szCs w:val="24"/>
        </w:rPr>
      </w:pPr>
      <w:r w:rsidRPr="00B82898">
        <w:rPr>
          <w:rFonts w:asciiTheme="minorBidi" w:hAnsiTheme="minorBidi"/>
          <w:b/>
          <w:bCs/>
          <w:sz w:val="24"/>
          <w:szCs w:val="24"/>
        </w:rPr>
        <w:t>Centre for Responsibilities, Rights and the Law</w:t>
      </w:r>
      <w:r w:rsidR="00F50EC2">
        <w:rPr>
          <w:rFonts w:asciiTheme="minorBidi" w:hAnsiTheme="minorBidi"/>
          <w:b/>
          <w:bCs/>
          <w:sz w:val="24"/>
          <w:szCs w:val="24"/>
        </w:rPr>
        <w:t xml:space="preserve"> (Sussex Law School)</w:t>
      </w:r>
      <w:r w:rsidR="00F50EC2">
        <w:rPr>
          <w:rStyle w:val="FootnoteReference"/>
          <w:b/>
          <w:bCs/>
          <w:sz w:val="24"/>
          <w:szCs w:val="24"/>
        </w:rPr>
        <w:footnoteReference w:id="1"/>
      </w:r>
    </w:p>
    <w:p w:rsidR="00C94923" w:rsidRPr="00C94923" w:rsidRDefault="001E3038" w:rsidP="00C94923">
      <w:pPr>
        <w:pStyle w:val="Default"/>
        <w:spacing w:after="200" w:line="276" w:lineRule="auto"/>
        <w:jc w:val="both"/>
        <w:rPr>
          <w:rFonts w:asciiTheme="minorBidi" w:hAnsiTheme="minorBidi" w:cstheme="minorBidi"/>
          <w:b/>
          <w:bCs/>
        </w:rPr>
      </w:pPr>
      <w:r w:rsidRPr="00C94923">
        <w:rPr>
          <w:rFonts w:asciiTheme="minorBidi" w:hAnsiTheme="minorBidi" w:cstheme="minorBidi"/>
        </w:rPr>
        <w:t>The Centre for Responsibilities, Rights and the Law has a number of concerns about the proposals in the consultation paper, particularly those in Chapter 3</w:t>
      </w:r>
      <w:r w:rsidR="00CB5203" w:rsidRPr="00C94923">
        <w:rPr>
          <w:rFonts w:asciiTheme="minorBidi" w:hAnsiTheme="minorBidi" w:cstheme="minorBidi"/>
        </w:rPr>
        <w:t xml:space="preserve">: Eligibility, Scope and Merits. Our response to </w:t>
      </w:r>
      <w:r w:rsidR="00CB5203" w:rsidRPr="00C94923">
        <w:rPr>
          <w:rFonts w:asciiTheme="minorBidi" w:hAnsiTheme="minorBidi" w:cstheme="minorBidi"/>
          <w:b/>
          <w:bCs/>
        </w:rPr>
        <w:t>Questions 1, 3, 4 and 5</w:t>
      </w:r>
      <w:r w:rsidR="00CB5203" w:rsidRPr="00C94923">
        <w:rPr>
          <w:rFonts w:asciiTheme="minorBidi" w:hAnsiTheme="minorBidi" w:cstheme="minorBidi"/>
        </w:rPr>
        <w:t xml:space="preserve"> is therefore </w:t>
      </w:r>
      <w:r w:rsidR="00CB5203" w:rsidRPr="00C94923">
        <w:rPr>
          <w:rFonts w:asciiTheme="minorBidi" w:hAnsiTheme="minorBidi" w:cstheme="minorBidi"/>
          <w:b/>
          <w:bCs/>
        </w:rPr>
        <w:t>no</w:t>
      </w:r>
      <w:r w:rsidR="00C94923" w:rsidRPr="00C94923">
        <w:rPr>
          <w:rFonts w:asciiTheme="minorBidi" w:hAnsiTheme="minorBidi" w:cstheme="minorBidi"/>
          <w:b/>
          <w:bCs/>
        </w:rPr>
        <w:t xml:space="preserve">. </w:t>
      </w:r>
      <w:r w:rsidR="00C94923" w:rsidRPr="00C94923">
        <w:rPr>
          <w:rFonts w:asciiTheme="minorBidi" w:hAnsiTheme="minorBidi" w:cstheme="minorBidi"/>
        </w:rPr>
        <w:t>The UN Special Rapporteur on the Independen</w:t>
      </w:r>
      <w:r w:rsidR="00C94923">
        <w:rPr>
          <w:rFonts w:asciiTheme="minorBidi" w:hAnsiTheme="minorBidi" w:cstheme="minorBidi"/>
        </w:rPr>
        <w:t>ce</w:t>
      </w:r>
      <w:r w:rsidR="00C94923" w:rsidRPr="00C94923">
        <w:rPr>
          <w:rFonts w:asciiTheme="minorBidi" w:hAnsiTheme="minorBidi" w:cstheme="minorBidi"/>
        </w:rPr>
        <w:t xml:space="preserve"> of Judges and Lawyers has recently reiterated that: “Legal aid is both a right in itself and an essential precondition for the exercise and enjoyment of a number of human rights, including the rights to a fair trial and to an effective remedy</w:t>
      </w:r>
      <w:r w:rsidR="00C94923">
        <w:rPr>
          <w:rFonts w:asciiTheme="minorBidi" w:hAnsiTheme="minorBidi" w:cstheme="minorBidi"/>
        </w:rPr>
        <w:t xml:space="preserve"> </w:t>
      </w:r>
      <w:r w:rsidR="00C94923" w:rsidRPr="00C94923">
        <w:rPr>
          <w:rFonts w:asciiTheme="minorBidi" w:hAnsiTheme="minorBidi" w:cstheme="minorBidi"/>
        </w:rPr>
        <w:t>…</w:t>
      </w:r>
      <w:r w:rsidR="00C94923">
        <w:rPr>
          <w:rFonts w:asciiTheme="minorBidi" w:hAnsiTheme="minorBidi" w:cstheme="minorBidi"/>
        </w:rPr>
        <w:t xml:space="preserve"> </w:t>
      </w:r>
      <w:r w:rsidR="00C94923" w:rsidRPr="00C94923">
        <w:rPr>
          <w:rFonts w:asciiTheme="minorBidi" w:hAnsiTheme="minorBidi" w:cstheme="minorBidi"/>
        </w:rPr>
        <w:t>States bear the primary responsibility to adopt all appropriate measures to fully realize the right to legal aid for any individual within its territory and subject to its jurisdiction… Beneficiaries of legal aid should include any person who comes into contact with the law and does not have the means to pay for counsel.”</w:t>
      </w:r>
      <w:r w:rsidR="00C94923" w:rsidRPr="00C94923">
        <w:rPr>
          <w:rStyle w:val="FootnoteReference"/>
          <w:rFonts w:asciiTheme="minorBidi" w:hAnsiTheme="minorBidi" w:cstheme="minorBidi"/>
        </w:rPr>
        <w:footnoteReference w:id="2"/>
      </w:r>
      <w:r w:rsidR="00C94923" w:rsidRPr="00C94923">
        <w:rPr>
          <w:rFonts w:asciiTheme="minorBidi" w:hAnsiTheme="minorBidi" w:cstheme="minorBidi"/>
        </w:rPr>
        <w:t xml:space="preserve">  It is our view that all of the proposals in chapter 3, if implemented, would fundamentally undermine the essence of </w:t>
      </w:r>
      <w:r w:rsidR="00C94923">
        <w:rPr>
          <w:rFonts w:asciiTheme="minorBidi" w:hAnsiTheme="minorBidi" w:cstheme="minorBidi"/>
        </w:rPr>
        <w:t>this right</w:t>
      </w:r>
      <w:r w:rsidR="00C94923" w:rsidRPr="00C94923">
        <w:rPr>
          <w:rFonts w:asciiTheme="minorBidi" w:hAnsiTheme="minorBidi" w:cstheme="minorBidi"/>
        </w:rPr>
        <w:t>.</w:t>
      </w:r>
    </w:p>
    <w:p w:rsidR="00B82898" w:rsidRDefault="00CB5203" w:rsidP="004F1FCE">
      <w:pPr>
        <w:pStyle w:val="Default"/>
        <w:spacing w:after="200" w:line="276" w:lineRule="auto"/>
        <w:jc w:val="both"/>
      </w:pPr>
      <w:r w:rsidRPr="00B82898">
        <w:rPr>
          <w:rFonts w:asciiTheme="minorBidi" w:hAnsiTheme="minorBidi" w:cstheme="minorBidi"/>
        </w:rPr>
        <w:t xml:space="preserve">We are concerned about the implications for </w:t>
      </w:r>
      <w:r w:rsidRPr="00B82898">
        <w:rPr>
          <w:rFonts w:asciiTheme="minorBidi" w:hAnsiTheme="minorBidi" w:cstheme="minorBidi"/>
          <w:i/>
          <w:iCs/>
        </w:rPr>
        <w:t>access to justice</w:t>
      </w:r>
      <w:r w:rsidRPr="00B82898">
        <w:rPr>
          <w:rFonts w:asciiTheme="minorBidi" w:hAnsiTheme="minorBidi" w:cstheme="minorBidi"/>
        </w:rPr>
        <w:t xml:space="preserve"> for </w:t>
      </w:r>
      <w:r w:rsidRPr="00B82898">
        <w:rPr>
          <w:rFonts w:asciiTheme="minorBidi" w:hAnsiTheme="minorBidi" w:cstheme="minorBidi"/>
          <w:i/>
          <w:iCs/>
        </w:rPr>
        <w:t>prisoners</w:t>
      </w:r>
      <w:r w:rsidRPr="00B82898">
        <w:rPr>
          <w:rFonts w:asciiTheme="minorBidi" w:hAnsiTheme="minorBidi" w:cstheme="minorBidi"/>
        </w:rPr>
        <w:t xml:space="preserve"> of the proposals to restrict the scope of legal aid for prison law, (</w:t>
      </w:r>
      <w:proofErr w:type="spellStart"/>
      <w:r w:rsidRPr="00B82898">
        <w:rPr>
          <w:rFonts w:asciiTheme="minorBidi" w:hAnsiTheme="minorBidi" w:cstheme="minorBidi"/>
        </w:rPr>
        <w:t>paras</w:t>
      </w:r>
      <w:proofErr w:type="spellEnd"/>
      <w:r w:rsidRPr="00B82898">
        <w:rPr>
          <w:rFonts w:asciiTheme="minorBidi" w:hAnsiTheme="minorBidi" w:cstheme="minorBidi"/>
        </w:rPr>
        <w:t xml:space="preserve"> 3.4-3.22), the threat to the </w:t>
      </w:r>
      <w:r w:rsidRPr="00B82898">
        <w:rPr>
          <w:rFonts w:asciiTheme="minorBidi" w:hAnsiTheme="minorBidi" w:cstheme="minorBidi"/>
          <w:i/>
          <w:iCs/>
        </w:rPr>
        <w:t>rule of law</w:t>
      </w:r>
      <w:r w:rsidRPr="00B82898">
        <w:rPr>
          <w:rFonts w:asciiTheme="minorBidi" w:hAnsiTheme="minorBidi" w:cstheme="minorBidi"/>
        </w:rPr>
        <w:t xml:space="preserve"> presented by the proposals to restrict payment for work carried out on an </w:t>
      </w:r>
      <w:r w:rsidRPr="00B82898">
        <w:rPr>
          <w:rFonts w:asciiTheme="minorBidi" w:hAnsiTheme="minorBidi" w:cstheme="minorBidi"/>
          <w:i/>
          <w:iCs/>
        </w:rPr>
        <w:t>application for permission for judicial review</w:t>
      </w:r>
      <w:r w:rsidRPr="00B82898">
        <w:rPr>
          <w:rFonts w:asciiTheme="minorBidi" w:hAnsiTheme="minorBidi" w:cstheme="minorBidi"/>
        </w:rPr>
        <w:t xml:space="preserve"> (</w:t>
      </w:r>
      <w:proofErr w:type="spellStart"/>
      <w:r w:rsidRPr="00B82898">
        <w:rPr>
          <w:rFonts w:asciiTheme="minorBidi" w:hAnsiTheme="minorBidi" w:cstheme="minorBidi"/>
        </w:rPr>
        <w:t>paras</w:t>
      </w:r>
      <w:proofErr w:type="spellEnd"/>
      <w:r w:rsidRPr="00B82898">
        <w:rPr>
          <w:rFonts w:asciiTheme="minorBidi" w:hAnsiTheme="minorBidi" w:cstheme="minorBidi"/>
        </w:rPr>
        <w:t xml:space="preserve">. 3.61-3.79) and with the </w:t>
      </w:r>
      <w:r w:rsidRPr="00B82898">
        <w:rPr>
          <w:rFonts w:asciiTheme="minorBidi" w:hAnsiTheme="minorBidi" w:cstheme="minorBidi"/>
          <w:i/>
          <w:iCs/>
        </w:rPr>
        <w:t>equality</w:t>
      </w:r>
      <w:r w:rsidRPr="00B82898">
        <w:rPr>
          <w:rFonts w:asciiTheme="minorBidi" w:hAnsiTheme="minorBidi" w:cstheme="minorBidi"/>
        </w:rPr>
        <w:t xml:space="preserve"> implications of the proposal to remove legal aid for </w:t>
      </w:r>
      <w:r w:rsidRPr="00B82898">
        <w:rPr>
          <w:rFonts w:asciiTheme="minorBidi" w:hAnsiTheme="minorBidi" w:cstheme="minorBidi"/>
          <w:i/>
          <w:iCs/>
        </w:rPr>
        <w:t>cases with less than a 50% prospect of success</w:t>
      </w:r>
      <w:r w:rsidRPr="00B82898">
        <w:rPr>
          <w:rFonts w:asciiTheme="minorBidi" w:hAnsiTheme="minorBidi" w:cstheme="minorBidi"/>
        </w:rPr>
        <w:t xml:space="preserve"> (</w:t>
      </w:r>
      <w:proofErr w:type="spellStart"/>
      <w:r w:rsidRPr="00B82898">
        <w:rPr>
          <w:rFonts w:asciiTheme="minorBidi" w:hAnsiTheme="minorBidi" w:cstheme="minorBidi"/>
        </w:rPr>
        <w:t>paras</w:t>
      </w:r>
      <w:proofErr w:type="spellEnd"/>
      <w:r w:rsidRPr="00B82898">
        <w:rPr>
          <w:rFonts w:asciiTheme="minorBidi" w:hAnsiTheme="minorBidi" w:cstheme="minorBidi"/>
        </w:rPr>
        <w:t>. 3.8</w:t>
      </w:r>
      <w:r w:rsidR="00054AE2" w:rsidRPr="00B82898">
        <w:rPr>
          <w:rFonts w:asciiTheme="minorBidi" w:hAnsiTheme="minorBidi" w:cstheme="minorBidi"/>
        </w:rPr>
        <w:t>0</w:t>
      </w:r>
      <w:r w:rsidRPr="00B82898">
        <w:rPr>
          <w:rFonts w:asciiTheme="minorBidi" w:hAnsiTheme="minorBidi" w:cstheme="minorBidi"/>
        </w:rPr>
        <w:t>-</w:t>
      </w:r>
      <w:r w:rsidR="00054AE2" w:rsidRPr="00B82898">
        <w:rPr>
          <w:rFonts w:asciiTheme="minorBidi" w:hAnsiTheme="minorBidi" w:cstheme="minorBidi"/>
        </w:rPr>
        <w:t>3.90</w:t>
      </w:r>
      <w:r w:rsidR="000B41AC" w:rsidRPr="00B82898">
        <w:rPr>
          <w:rFonts w:asciiTheme="minorBidi" w:hAnsiTheme="minorBidi" w:cstheme="minorBidi"/>
        </w:rPr>
        <w:t>)</w:t>
      </w:r>
      <w:r w:rsidRPr="00B82898">
        <w:rPr>
          <w:rFonts w:asciiTheme="minorBidi" w:hAnsiTheme="minorBidi" w:cstheme="minorBidi"/>
        </w:rPr>
        <w:t>.</w:t>
      </w:r>
      <w:r w:rsidR="00D2299E">
        <w:rPr>
          <w:rFonts w:asciiTheme="minorBidi" w:hAnsiTheme="minorBidi" w:cstheme="minorBidi"/>
        </w:rPr>
        <w:t xml:space="preserve"> </w:t>
      </w:r>
      <w:r w:rsidR="00135EFE">
        <w:rPr>
          <w:rFonts w:asciiTheme="minorBidi" w:hAnsiTheme="minorBidi" w:cstheme="minorBidi"/>
        </w:rPr>
        <w:t xml:space="preserve">However, </w:t>
      </w:r>
      <w:r w:rsidR="00135EFE">
        <w:t>f</w:t>
      </w:r>
      <w:r w:rsidR="00DA6E21">
        <w:t>or</w:t>
      </w:r>
      <w:r w:rsidR="00135EFE">
        <w:t xml:space="preserve"> the purpose</w:t>
      </w:r>
      <w:r w:rsidR="00B82898">
        <w:t xml:space="preserve"> of this response</w:t>
      </w:r>
      <w:r w:rsidR="00DA6E21">
        <w:t>, w</w:t>
      </w:r>
      <w:r w:rsidR="003939C2">
        <w:t>e have chosen to focus in particular on question 4</w:t>
      </w:r>
      <w:r w:rsidR="00DA6E21">
        <w:t xml:space="preserve"> </w:t>
      </w:r>
      <w:r w:rsidR="00135EFE">
        <w:t xml:space="preserve">and the proposed </w:t>
      </w:r>
      <w:r w:rsidR="00135EFE">
        <w:rPr>
          <w:i/>
          <w:iCs/>
        </w:rPr>
        <w:t xml:space="preserve">residence test </w:t>
      </w:r>
      <w:r w:rsidR="00DA6E21">
        <w:t xml:space="preserve">as questions </w:t>
      </w:r>
      <w:r w:rsidR="00054AE2">
        <w:t xml:space="preserve">relating to access to justice, the rule of law and equality are all also raised by the proposal to </w:t>
      </w:r>
      <w:r w:rsidR="003939C2">
        <w:t xml:space="preserve">limit civil legal aid to those with a </w:t>
      </w:r>
      <w:r w:rsidR="00B82898">
        <w:t>strong connection with the UK</w:t>
      </w:r>
      <w:r w:rsidR="00135EFE">
        <w:t xml:space="preserve"> </w:t>
      </w:r>
      <w:r w:rsidR="000B41AC">
        <w:t>(</w:t>
      </w:r>
      <w:proofErr w:type="spellStart"/>
      <w:r w:rsidR="000B41AC">
        <w:t>paras</w:t>
      </w:r>
      <w:proofErr w:type="spellEnd"/>
      <w:r w:rsidR="000B41AC">
        <w:t>. 3.42-3.60).</w:t>
      </w:r>
    </w:p>
    <w:p w:rsidR="000B41AC" w:rsidRPr="000B41AC" w:rsidRDefault="000B41AC" w:rsidP="00B82898">
      <w:pPr>
        <w:jc w:val="both"/>
        <w:rPr>
          <w:rFonts w:asciiTheme="minorBidi" w:eastAsiaTheme="minorHAnsi" w:hAnsiTheme="minorBidi"/>
          <w:b/>
          <w:sz w:val="24"/>
          <w:szCs w:val="24"/>
          <w:lang w:eastAsia="en-US" w:bidi="ar-SA"/>
        </w:rPr>
      </w:pPr>
      <w:r w:rsidRPr="000B41AC">
        <w:rPr>
          <w:rFonts w:asciiTheme="minorBidi" w:eastAsiaTheme="minorHAnsi" w:hAnsiTheme="minorBidi"/>
          <w:b/>
          <w:sz w:val="24"/>
          <w:szCs w:val="24"/>
          <w:lang w:eastAsia="en-US" w:bidi="ar-SA"/>
        </w:rPr>
        <w:t>Q4. Do you agree with the proposed approach for limiting legal aid to those with a strong connection with the UK? Please give reasons.</w:t>
      </w:r>
    </w:p>
    <w:p w:rsidR="00C94923" w:rsidRDefault="000B41AC" w:rsidP="004F1FCE">
      <w:pPr>
        <w:jc w:val="both"/>
        <w:rPr>
          <w:rFonts w:asciiTheme="minorBidi" w:eastAsiaTheme="minorHAnsi" w:hAnsiTheme="minorBidi"/>
          <w:sz w:val="24"/>
          <w:szCs w:val="24"/>
          <w:lang w:eastAsia="en-US" w:bidi="ar-SA"/>
        </w:rPr>
      </w:pPr>
      <w:r w:rsidRPr="000B41AC">
        <w:rPr>
          <w:rFonts w:asciiTheme="minorBidi" w:eastAsiaTheme="minorHAnsi" w:hAnsiTheme="minorBidi"/>
          <w:sz w:val="24"/>
          <w:szCs w:val="24"/>
          <w:lang w:eastAsia="en-US" w:bidi="ar-SA"/>
        </w:rPr>
        <w:t>We do not agree with the proposed introduction of a residence test for legal aid in the UK</w:t>
      </w:r>
      <w:r w:rsidR="00B82898">
        <w:rPr>
          <w:rFonts w:asciiTheme="minorBidi" w:eastAsiaTheme="minorHAnsi" w:hAnsiTheme="minorBidi"/>
          <w:sz w:val="24"/>
          <w:szCs w:val="24"/>
          <w:lang w:eastAsia="en-US" w:bidi="ar-SA"/>
        </w:rPr>
        <w:t xml:space="preserve"> </w:t>
      </w:r>
      <w:r w:rsidR="003529DD" w:rsidRPr="00B82898">
        <w:rPr>
          <w:rFonts w:asciiTheme="minorBidi" w:eastAsiaTheme="minorHAnsi" w:hAnsiTheme="minorBidi"/>
          <w:sz w:val="24"/>
          <w:szCs w:val="24"/>
          <w:lang w:eastAsia="en-US" w:bidi="ar-SA"/>
        </w:rPr>
        <w:t>for the following reasons</w:t>
      </w:r>
      <w:r w:rsidR="00B82898">
        <w:rPr>
          <w:rFonts w:asciiTheme="minorBidi" w:eastAsiaTheme="minorHAnsi" w:hAnsiTheme="minorBidi"/>
          <w:sz w:val="24"/>
          <w:szCs w:val="24"/>
          <w:lang w:eastAsia="en-US" w:bidi="ar-SA"/>
        </w:rPr>
        <w:t>:</w:t>
      </w:r>
      <w:r w:rsidR="003529DD" w:rsidRPr="00B82898">
        <w:rPr>
          <w:rFonts w:asciiTheme="minorBidi" w:eastAsiaTheme="minorHAnsi" w:hAnsiTheme="minorBidi"/>
          <w:sz w:val="24"/>
          <w:szCs w:val="24"/>
          <w:lang w:eastAsia="en-US" w:bidi="ar-SA"/>
        </w:rPr>
        <w:t xml:space="preserve"> </w:t>
      </w:r>
      <w:r w:rsidR="00B82898">
        <w:rPr>
          <w:rFonts w:asciiTheme="minorBidi" w:eastAsiaTheme="minorHAnsi" w:hAnsiTheme="minorBidi"/>
          <w:sz w:val="24"/>
          <w:szCs w:val="24"/>
          <w:lang w:eastAsia="en-US" w:bidi="ar-SA"/>
        </w:rPr>
        <w:t xml:space="preserve">(1) </w:t>
      </w:r>
      <w:r w:rsidR="001D7A82" w:rsidRPr="00B82898">
        <w:rPr>
          <w:rFonts w:asciiTheme="minorBidi" w:eastAsiaTheme="minorHAnsi" w:hAnsiTheme="minorBidi"/>
          <w:sz w:val="24"/>
          <w:szCs w:val="24"/>
          <w:lang w:eastAsia="en-US" w:bidi="ar-SA"/>
        </w:rPr>
        <w:t>t</w:t>
      </w:r>
      <w:r w:rsidR="003529DD" w:rsidRPr="00B82898">
        <w:rPr>
          <w:rFonts w:asciiTheme="minorBidi" w:eastAsiaTheme="minorHAnsi" w:hAnsiTheme="minorBidi"/>
          <w:sz w:val="24"/>
          <w:szCs w:val="24"/>
          <w:lang w:eastAsia="en-US" w:bidi="ar-SA"/>
        </w:rPr>
        <w:t xml:space="preserve">he potential exclusion </w:t>
      </w:r>
      <w:r w:rsidR="00072587">
        <w:rPr>
          <w:rFonts w:asciiTheme="minorBidi" w:eastAsiaTheme="minorHAnsi" w:hAnsiTheme="minorBidi"/>
          <w:sz w:val="24"/>
          <w:szCs w:val="24"/>
          <w:lang w:eastAsia="en-US" w:bidi="ar-SA"/>
        </w:rPr>
        <w:t xml:space="preserve">of those </w:t>
      </w:r>
      <w:r w:rsidR="003529DD" w:rsidRPr="00B82898">
        <w:rPr>
          <w:rFonts w:asciiTheme="minorBidi" w:eastAsiaTheme="minorHAnsi" w:hAnsiTheme="minorBidi"/>
          <w:sz w:val="24"/>
          <w:szCs w:val="24"/>
          <w:lang w:eastAsia="en-US" w:bidi="ar-SA"/>
        </w:rPr>
        <w:t xml:space="preserve">who have a strong connection with the UK but </w:t>
      </w:r>
      <w:r w:rsidR="00135EFE">
        <w:rPr>
          <w:rFonts w:asciiTheme="minorBidi" w:eastAsiaTheme="minorHAnsi" w:hAnsiTheme="minorBidi"/>
          <w:sz w:val="24"/>
          <w:szCs w:val="24"/>
          <w:lang w:eastAsia="en-US" w:bidi="ar-SA"/>
        </w:rPr>
        <w:t xml:space="preserve">who </w:t>
      </w:r>
      <w:r w:rsidR="003529DD" w:rsidRPr="00B82898">
        <w:rPr>
          <w:rFonts w:asciiTheme="minorBidi" w:eastAsiaTheme="minorHAnsi" w:hAnsiTheme="minorBidi"/>
          <w:sz w:val="24"/>
          <w:szCs w:val="24"/>
          <w:lang w:eastAsia="en-US" w:bidi="ar-SA"/>
        </w:rPr>
        <w:t>do not meet the pr</w:t>
      </w:r>
      <w:r w:rsidR="00135EFE">
        <w:rPr>
          <w:rFonts w:asciiTheme="minorBidi" w:eastAsiaTheme="minorHAnsi" w:hAnsiTheme="minorBidi"/>
          <w:sz w:val="24"/>
          <w:szCs w:val="24"/>
          <w:lang w:eastAsia="en-US" w:bidi="ar-SA"/>
        </w:rPr>
        <w:t>oposed eligibility requirements;</w:t>
      </w:r>
      <w:r w:rsidR="003529DD" w:rsidRPr="00B82898">
        <w:rPr>
          <w:rFonts w:asciiTheme="minorBidi" w:eastAsiaTheme="minorHAnsi" w:hAnsiTheme="minorBidi"/>
          <w:sz w:val="24"/>
          <w:szCs w:val="24"/>
          <w:lang w:eastAsia="en-US" w:bidi="ar-SA"/>
        </w:rPr>
        <w:t xml:space="preserve"> </w:t>
      </w:r>
      <w:r w:rsidR="00B82898">
        <w:rPr>
          <w:rFonts w:asciiTheme="minorBidi" w:eastAsiaTheme="minorHAnsi" w:hAnsiTheme="minorBidi"/>
          <w:sz w:val="24"/>
          <w:szCs w:val="24"/>
          <w:lang w:eastAsia="en-US" w:bidi="ar-SA"/>
        </w:rPr>
        <w:t xml:space="preserve">(2) </w:t>
      </w:r>
      <w:r w:rsidR="00C94923" w:rsidRPr="00B82898">
        <w:rPr>
          <w:rFonts w:asciiTheme="minorBidi" w:eastAsiaTheme="minorHAnsi" w:hAnsiTheme="minorBidi"/>
          <w:sz w:val="24"/>
          <w:szCs w:val="24"/>
          <w:lang w:eastAsia="en-US" w:bidi="ar-SA"/>
        </w:rPr>
        <w:t xml:space="preserve">the failure of the consultation paper to adequately demonstrate how full compliance with European and International </w:t>
      </w:r>
      <w:r w:rsidR="004F1FCE" w:rsidRPr="00B82898">
        <w:rPr>
          <w:rFonts w:asciiTheme="minorBidi" w:eastAsiaTheme="minorHAnsi" w:hAnsiTheme="minorBidi"/>
          <w:sz w:val="24"/>
          <w:szCs w:val="24"/>
          <w:lang w:eastAsia="en-US" w:bidi="ar-SA"/>
        </w:rPr>
        <w:t>Law</w:t>
      </w:r>
      <w:r w:rsidR="004F1FCE">
        <w:rPr>
          <w:rFonts w:asciiTheme="minorBidi" w:eastAsiaTheme="minorHAnsi" w:hAnsiTheme="minorBidi"/>
          <w:sz w:val="24"/>
          <w:szCs w:val="24"/>
          <w:lang w:eastAsia="en-US" w:bidi="ar-SA"/>
        </w:rPr>
        <w:t xml:space="preserve"> will be achieved </w:t>
      </w:r>
      <w:r w:rsidR="00C94923">
        <w:rPr>
          <w:rFonts w:asciiTheme="minorBidi" w:eastAsiaTheme="minorHAnsi" w:hAnsiTheme="minorBidi"/>
          <w:sz w:val="24"/>
          <w:szCs w:val="24"/>
          <w:lang w:eastAsia="en-US" w:bidi="ar-SA"/>
        </w:rPr>
        <w:t>and (3)</w:t>
      </w:r>
      <w:r w:rsidR="00C94923" w:rsidRPr="00B82898">
        <w:rPr>
          <w:rFonts w:asciiTheme="minorBidi" w:eastAsiaTheme="minorHAnsi" w:hAnsiTheme="minorBidi"/>
          <w:sz w:val="24"/>
          <w:szCs w:val="24"/>
          <w:lang w:eastAsia="en-US" w:bidi="ar-SA"/>
        </w:rPr>
        <w:t xml:space="preserve"> </w:t>
      </w:r>
      <w:r w:rsidR="003529DD" w:rsidRPr="00B82898">
        <w:rPr>
          <w:rFonts w:asciiTheme="minorBidi" w:eastAsiaTheme="minorHAnsi" w:hAnsiTheme="minorBidi"/>
          <w:sz w:val="24"/>
          <w:szCs w:val="24"/>
          <w:lang w:eastAsia="en-US" w:bidi="ar-SA"/>
        </w:rPr>
        <w:t>the negative implications for those who are most vulnerable in society, including refugees and asylum seekers</w:t>
      </w:r>
      <w:r w:rsidR="00C94923">
        <w:rPr>
          <w:rFonts w:asciiTheme="minorBidi" w:eastAsiaTheme="minorHAnsi" w:hAnsiTheme="minorBidi"/>
          <w:sz w:val="24"/>
          <w:szCs w:val="24"/>
          <w:lang w:eastAsia="en-US" w:bidi="ar-SA"/>
        </w:rPr>
        <w:t>.</w:t>
      </w:r>
    </w:p>
    <w:p w:rsidR="000B41AC" w:rsidRPr="00B82898" w:rsidRDefault="007B59B7" w:rsidP="00C94923">
      <w:pPr>
        <w:jc w:val="both"/>
        <w:rPr>
          <w:rFonts w:asciiTheme="minorBidi" w:eastAsiaTheme="minorHAnsi" w:hAnsiTheme="minorBidi"/>
          <w:i/>
          <w:iCs/>
          <w:sz w:val="24"/>
          <w:szCs w:val="24"/>
          <w:lang w:eastAsia="en-US" w:bidi="ar-SA"/>
        </w:rPr>
      </w:pPr>
      <w:r w:rsidRPr="00B82898">
        <w:rPr>
          <w:rFonts w:asciiTheme="minorBidi" w:eastAsiaTheme="minorHAnsi" w:hAnsiTheme="minorBidi"/>
          <w:i/>
          <w:iCs/>
          <w:sz w:val="24"/>
          <w:szCs w:val="24"/>
          <w:lang w:eastAsia="en-US" w:bidi="ar-SA"/>
        </w:rPr>
        <w:lastRenderedPageBreak/>
        <w:t xml:space="preserve">Potential Exclusion of Those </w:t>
      </w:r>
      <w:r w:rsidR="003529DD" w:rsidRPr="00B82898">
        <w:rPr>
          <w:rFonts w:asciiTheme="minorBidi" w:eastAsiaTheme="minorHAnsi" w:hAnsiTheme="minorBidi"/>
          <w:i/>
          <w:iCs/>
          <w:sz w:val="24"/>
          <w:szCs w:val="24"/>
          <w:lang w:eastAsia="en-US" w:bidi="ar-SA"/>
        </w:rPr>
        <w:t>with</w:t>
      </w:r>
      <w:r w:rsidRPr="00B82898">
        <w:rPr>
          <w:rFonts w:asciiTheme="minorBidi" w:eastAsiaTheme="minorHAnsi" w:hAnsiTheme="minorBidi"/>
          <w:i/>
          <w:iCs/>
          <w:sz w:val="24"/>
          <w:szCs w:val="24"/>
          <w:lang w:eastAsia="en-US" w:bidi="ar-SA"/>
        </w:rPr>
        <w:t xml:space="preserve"> a Strong Connection </w:t>
      </w:r>
      <w:r w:rsidR="003529DD" w:rsidRPr="00B82898">
        <w:rPr>
          <w:rFonts w:asciiTheme="minorBidi" w:eastAsiaTheme="minorHAnsi" w:hAnsiTheme="minorBidi"/>
          <w:i/>
          <w:iCs/>
          <w:sz w:val="24"/>
          <w:szCs w:val="24"/>
          <w:lang w:eastAsia="en-US" w:bidi="ar-SA"/>
        </w:rPr>
        <w:t>to</w:t>
      </w:r>
      <w:r w:rsidRPr="00B82898">
        <w:rPr>
          <w:rFonts w:asciiTheme="minorBidi" w:eastAsiaTheme="minorHAnsi" w:hAnsiTheme="minorBidi"/>
          <w:i/>
          <w:iCs/>
          <w:sz w:val="24"/>
          <w:szCs w:val="24"/>
          <w:lang w:eastAsia="en-US" w:bidi="ar-SA"/>
        </w:rPr>
        <w:t xml:space="preserve"> the UK  </w:t>
      </w:r>
    </w:p>
    <w:p w:rsidR="00C94923" w:rsidRDefault="000B41AC" w:rsidP="004F1FCE">
      <w:pPr>
        <w:jc w:val="both"/>
        <w:rPr>
          <w:rFonts w:asciiTheme="minorBidi" w:eastAsiaTheme="minorHAnsi" w:hAnsiTheme="minorBidi"/>
          <w:color w:val="000000"/>
          <w:sz w:val="24"/>
          <w:szCs w:val="24"/>
          <w:lang w:val="en-US" w:eastAsia="en-US" w:bidi="ar-SA"/>
        </w:rPr>
      </w:pPr>
      <w:r w:rsidRPr="000B41AC">
        <w:rPr>
          <w:rFonts w:asciiTheme="minorBidi" w:eastAsiaTheme="minorHAnsi" w:hAnsiTheme="minorBidi"/>
          <w:sz w:val="24"/>
          <w:szCs w:val="24"/>
          <w:lang w:eastAsia="en-US" w:bidi="ar-SA"/>
        </w:rPr>
        <w:t xml:space="preserve">We do not agree that this </w:t>
      </w:r>
      <w:r w:rsidRPr="00B82898">
        <w:rPr>
          <w:rFonts w:asciiTheme="minorBidi" w:eastAsiaTheme="minorHAnsi" w:hAnsiTheme="minorBidi"/>
          <w:sz w:val="24"/>
          <w:szCs w:val="24"/>
          <w:lang w:eastAsia="en-US" w:bidi="ar-SA"/>
        </w:rPr>
        <w:t xml:space="preserve">proposal </w:t>
      </w:r>
      <w:r w:rsidRPr="000B41AC">
        <w:rPr>
          <w:rFonts w:asciiTheme="minorBidi" w:eastAsiaTheme="minorHAnsi" w:hAnsiTheme="minorBidi"/>
          <w:sz w:val="24"/>
          <w:szCs w:val="24"/>
          <w:lang w:eastAsia="en-US" w:bidi="ar-SA"/>
        </w:rPr>
        <w:t>will achieve the claimed goal of limiting legal aid to those with a strong connection to the UK.</w:t>
      </w:r>
      <w:r w:rsidRPr="00B82898">
        <w:rPr>
          <w:rFonts w:asciiTheme="minorBidi" w:eastAsiaTheme="minorHAnsi" w:hAnsiTheme="minorBidi"/>
          <w:sz w:val="24"/>
          <w:szCs w:val="24"/>
          <w:lang w:eastAsia="en-US" w:bidi="ar-SA"/>
        </w:rPr>
        <w:t xml:space="preserve"> </w:t>
      </w:r>
      <w:r w:rsidRPr="000B41AC">
        <w:rPr>
          <w:rFonts w:asciiTheme="minorBidi" w:eastAsiaTheme="minorHAnsi" w:hAnsiTheme="minorBidi"/>
          <w:sz w:val="24"/>
          <w:szCs w:val="24"/>
          <w:lang w:eastAsia="en-US" w:bidi="ar-SA"/>
        </w:rPr>
        <w:t>The residence test can be divided into two parts the applicant must be resident in the UK at the time of the application</w:t>
      </w:r>
      <w:r w:rsidR="00C94923">
        <w:rPr>
          <w:rFonts w:asciiTheme="minorBidi" w:eastAsiaTheme="minorHAnsi" w:hAnsiTheme="minorBidi"/>
          <w:sz w:val="24"/>
          <w:szCs w:val="24"/>
          <w:lang w:eastAsia="en-US" w:bidi="ar-SA"/>
        </w:rPr>
        <w:t xml:space="preserve"> and</w:t>
      </w:r>
      <w:r w:rsidR="004F1FCE">
        <w:rPr>
          <w:rFonts w:asciiTheme="minorBidi" w:eastAsiaTheme="minorHAnsi" w:hAnsiTheme="minorBidi"/>
          <w:sz w:val="24"/>
          <w:szCs w:val="24"/>
          <w:lang w:eastAsia="en-US" w:bidi="ar-SA"/>
        </w:rPr>
        <w:t xml:space="preserve"> </w:t>
      </w:r>
      <w:r w:rsidRPr="000B41AC">
        <w:rPr>
          <w:rFonts w:asciiTheme="minorBidi" w:eastAsiaTheme="minorHAnsi" w:hAnsiTheme="minorBidi"/>
          <w:sz w:val="24"/>
          <w:szCs w:val="24"/>
          <w:lang w:eastAsia="en-US" w:bidi="ar-SA"/>
        </w:rPr>
        <w:t xml:space="preserve">this residence must be lawful. We would argue in both cases that people with a strong connection to the UK will be denied access to legal aid as a result of the test as it is currently proposed. </w:t>
      </w:r>
    </w:p>
    <w:p w:rsidR="003B6118" w:rsidRPr="00B82898" w:rsidRDefault="00C94923" w:rsidP="003E7C00">
      <w:pPr>
        <w:jc w:val="both"/>
        <w:rPr>
          <w:rFonts w:asciiTheme="minorBidi" w:eastAsiaTheme="minorHAnsi" w:hAnsiTheme="minorBidi"/>
          <w:color w:val="000000"/>
          <w:sz w:val="24"/>
          <w:szCs w:val="24"/>
          <w:shd w:val="clear" w:color="auto" w:fill="FFFFFF"/>
          <w:lang w:eastAsia="en-US" w:bidi="ar-SA"/>
        </w:rPr>
      </w:pPr>
      <w:r>
        <w:rPr>
          <w:rFonts w:asciiTheme="minorBidi" w:eastAsiaTheme="minorHAnsi" w:hAnsiTheme="minorBidi"/>
          <w:color w:val="000000"/>
          <w:sz w:val="24"/>
          <w:szCs w:val="24"/>
          <w:lang w:val="en-US" w:eastAsia="en-US" w:bidi="ar-SA"/>
        </w:rPr>
        <w:t xml:space="preserve">We </w:t>
      </w:r>
      <w:r w:rsidR="003B6118" w:rsidRPr="003B6118">
        <w:rPr>
          <w:rFonts w:asciiTheme="minorBidi" w:eastAsiaTheme="minorHAnsi" w:hAnsiTheme="minorBidi"/>
          <w:sz w:val="24"/>
          <w:szCs w:val="24"/>
          <w:lang w:eastAsia="en-US" w:bidi="ar-SA"/>
        </w:rPr>
        <w:t xml:space="preserve">are </w:t>
      </w:r>
      <w:r>
        <w:rPr>
          <w:rFonts w:asciiTheme="minorBidi" w:eastAsiaTheme="minorHAnsi" w:hAnsiTheme="minorBidi"/>
          <w:sz w:val="24"/>
          <w:szCs w:val="24"/>
          <w:lang w:eastAsia="en-US" w:bidi="ar-SA"/>
        </w:rPr>
        <w:t xml:space="preserve">particularly </w:t>
      </w:r>
      <w:r w:rsidR="003B6118" w:rsidRPr="003B6118">
        <w:rPr>
          <w:rFonts w:asciiTheme="minorBidi" w:eastAsiaTheme="minorHAnsi" w:hAnsiTheme="minorBidi"/>
          <w:sz w:val="24"/>
          <w:szCs w:val="24"/>
          <w:lang w:eastAsia="en-US" w:bidi="ar-SA"/>
        </w:rPr>
        <w:t>concerned that issues of constitutional importance and of the utmost seriousness, including matters of life and death, will be removed from</w:t>
      </w:r>
      <w:r w:rsidR="003B6118" w:rsidRPr="00B82898">
        <w:rPr>
          <w:rFonts w:asciiTheme="minorBidi" w:eastAsiaTheme="minorHAnsi" w:hAnsiTheme="minorBidi"/>
          <w:sz w:val="24"/>
          <w:szCs w:val="24"/>
          <w:lang w:eastAsia="en-US" w:bidi="ar-SA"/>
        </w:rPr>
        <w:t xml:space="preserve"> the scope</w:t>
      </w:r>
      <w:r w:rsidR="003B6118" w:rsidRPr="003B6118">
        <w:rPr>
          <w:rFonts w:asciiTheme="minorBidi" w:eastAsiaTheme="minorHAnsi" w:hAnsiTheme="minorBidi"/>
          <w:sz w:val="24"/>
          <w:szCs w:val="24"/>
          <w:lang w:eastAsia="en-US" w:bidi="ar-SA"/>
        </w:rPr>
        <w:t xml:space="preserve"> legal aid. We would argue that people who have been subject to unlawful treatment at the hands of </w:t>
      </w:r>
      <w:r>
        <w:rPr>
          <w:rFonts w:asciiTheme="minorBidi" w:eastAsiaTheme="minorHAnsi" w:hAnsiTheme="minorBidi"/>
          <w:sz w:val="24"/>
          <w:szCs w:val="24"/>
          <w:lang w:eastAsia="en-US" w:bidi="ar-SA"/>
        </w:rPr>
        <w:t>UK</w:t>
      </w:r>
      <w:r w:rsidR="003B6118" w:rsidRPr="003B6118">
        <w:rPr>
          <w:rFonts w:asciiTheme="minorBidi" w:eastAsiaTheme="minorHAnsi" w:hAnsiTheme="minorBidi"/>
          <w:sz w:val="24"/>
          <w:szCs w:val="24"/>
          <w:lang w:eastAsia="en-US" w:bidi="ar-SA"/>
        </w:rPr>
        <w:t xml:space="preserve"> authorities have a clear and profound ‘connection to the UK’. In recent years the legal aid system as it currently operates has enabled the cases of </w:t>
      </w:r>
      <w:proofErr w:type="spellStart"/>
      <w:r w:rsidR="003B6118" w:rsidRPr="003B6118">
        <w:rPr>
          <w:rFonts w:asciiTheme="minorBidi" w:eastAsiaTheme="minorHAnsi" w:hAnsiTheme="minorBidi"/>
          <w:sz w:val="24"/>
          <w:szCs w:val="24"/>
          <w:lang w:eastAsia="en-US" w:bidi="ar-SA"/>
        </w:rPr>
        <w:t>Binyam</w:t>
      </w:r>
      <w:proofErr w:type="spellEnd"/>
      <w:r w:rsidR="003B6118" w:rsidRPr="003B6118">
        <w:rPr>
          <w:rFonts w:asciiTheme="minorBidi" w:eastAsiaTheme="minorHAnsi" w:hAnsiTheme="minorBidi"/>
          <w:sz w:val="24"/>
          <w:szCs w:val="24"/>
          <w:lang w:eastAsia="en-US" w:bidi="ar-SA"/>
        </w:rPr>
        <w:t xml:space="preserve"> Mohammed, </w:t>
      </w:r>
      <w:r w:rsidR="003B6118" w:rsidRPr="003B6118">
        <w:rPr>
          <w:rFonts w:asciiTheme="minorBidi" w:eastAsiaTheme="minorHAnsi" w:hAnsiTheme="minorBidi"/>
          <w:color w:val="000000"/>
          <w:sz w:val="24"/>
          <w:szCs w:val="24"/>
          <w:shd w:val="clear" w:color="auto" w:fill="FFFFFF"/>
          <w:lang w:eastAsia="en-US" w:bidi="ar-SA"/>
        </w:rPr>
        <w:t xml:space="preserve">who exposed the UK Secret Services’ complicity in "cruel, inhuman and degrading treatment by the United States authorities", </w:t>
      </w:r>
      <w:proofErr w:type="spellStart"/>
      <w:r w:rsidR="003B6118" w:rsidRPr="003B6118">
        <w:rPr>
          <w:rFonts w:asciiTheme="minorBidi" w:eastAsiaTheme="minorHAnsi" w:hAnsiTheme="minorBidi"/>
          <w:color w:val="000000"/>
          <w:sz w:val="24"/>
          <w:szCs w:val="24"/>
          <w:shd w:val="clear" w:color="auto" w:fill="FFFFFF"/>
          <w:lang w:eastAsia="en-US" w:bidi="ar-SA"/>
        </w:rPr>
        <w:t>Baha</w:t>
      </w:r>
      <w:proofErr w:type="spellEnd"/>
      <w:r w:rsidR="003B6118" w:rsidRPr="003B6118">
        <w:rPr>
          <w:rFonts w:asciiTheme="minorBidi" w:eastAsiaTheme="minorHAnsi" w:hAnsiTheme="minorBidi"/>
          <w:color w:val="000000"/>
          <w:sz w:val="24"/>
          <w:szCs w:val="24"/>
          <w:shd w:val="clear" w:color="auto" w:fill="FFFFFF"/>
          <w:lang w:eastAsia="en-US" w:bidi="ar-SA"/>
        </w:rPr>
        <w:t xml:space="preserve"> Musa, who was killed in an incident described by the subsequent UK inquiry as an "appalling episode of serious gratuitous violence", and the Mau </w:t>
      </w:r>
      <w:proofErr w:type="spellStart"/>
      <w:r w:rsidR="003B6118" w:rsidRPr="003B6118">
        <w:rPr>
          <w:rFonts w:asciiTheme="minorBidi" w:eastAsiaTheme="minorHAnsi" w:hAnsiTheme="minorBidi"/>
          <w:color w:val="000000"/>
          <w:sz w:val="24"/>
          <w:szCs w:val="24"/>
          <w:shd w:val="clear" w:color="auto" w:fill="FFFFFF"/>
          <w:lang w:eastAsia="en-US" w:bidi="ar-SA"/>
        </w:rPr>
        <w:t>Mau</w:t>
      </w:r>
      <w:proofErr w:type="spellEnd"/>
      <w:r w:rsidR="003B6118" w:rsidRPr="003B6118">
        <w:rPr>
          <w:rFonts w:asciiTheme="minorBidi" w:eastAsiaTheme="minorHAnsi" w:hAnsiTheme="minorBidi"/>
          <w:color w:val="000000"/>
          <w:sz w:val="24"/>
          <w:szCs w:val="24"/>
          <w:shd w:val="clear" w:color="auto" w:fill="FFFFFF"/>
          <w:lang w:eastAsia="en-US" w:bidi="ar-SA"/>
        </w:rPr>
        <w:t xml:space="preserve"> rebels, who the British government recently a</w:t>
      </w:r>
      <w:bookmarkStart w:id="0" w:name="_GoBack"/>
      <w:bookmarkEnd w:id="0"/>
      <w:r w:rsidR="003B6118" w:rsidRPr="003B6118">
        <w:rPr>
          <w:rFonts w:asciiTheme="minorBidi" w:eastAsiaTheme="minorHAnsi" w:hAnsiTheme="minorBidi"/>
          <w:color w:val="000000"/>
          <w:sz w:val="24"/>
          <w:szCs w:val="24"/>
          <w:shd w:val="clear" w:color="auto" w:fill="FFFFFF"/>
          <w:lang w:eastAsia="en-US" w:bidi="ar-SA"/>
        </w:rPr>
        <w:t xml:space="preserve">dmitted </w:t>
      </w:r>
      <w:r w:rsidR="003E7C00">
        <w:rPr>
          <w:rFonts w:asciiTheme="minorBidi" w:eastAsiaTheme="minorHAnsi" w:hAnsiTheme="minorBidi"/>
          <w:color w:val="000000"/>
          <w:sz w:val="24"/>
          <w:szCs w:val="24"/>
          <w:shd w:val="clear" w:color="auto" w:fill="FFFFFF"/>
          <w:lang w:eastAsia="en-US" w:bidi="ar-SA"/>
        </w:rPr>
        <w:t>were subjected to torture by the British colonial administration</w:t>
      </w:r>
      <w:r w:rsidR="003B6118" w:rsidRPr="003B6118">
        <w:rPr>
          <w:rFonts w:asciiTheme="minorBidi" w:eastAsiaTheme="minorHAnsi" w:hAnsiTheme="minorBidi"/>
          <w:color w:val="000000"/>
          <w:sz w:val="24"/>
          <w:szCs w:val="24"/>
          <w:shd w:val="clear" w:color="auto" w:fill="FFFFFF"/>
          <w:lang w:eastAsia="en-US" w:bidi="ar-SA"/>
        </w:rPr>
        <w:t xml:space="preserve">, to be heard. </w:t>
      </w:r>
      <w:r w:rsidR="00135EFE">
        <w:rPr>
          <w:rFonts w:asciiTheme="minorBidi" w:eastAsiaTheme="minorHAnsi" w:hAnsiTheme="minorBidi"/>
          <w:color w:val="000000"/>
          <w:sz w:val="24"/>
          <w:szCs w:val="24"/>
          <w:shd w:val="clear" w:color="auto" w:fill="FFFFFF"/>
          <w:lang w:eastAsia="en-US" w:bidi="ar-SA"/>
        </w:rPr>
        <w:t xml:space="preserve"> </w:t>
      </w:r>
      <w:r w:rsidR="003B6118" w:rsidRPr="003B6118">
        <w:rPr>
          <w:rFonts w:asciiTheme="minorBidi" w:eastAsiaTheme="minorHAnsi" w:hAnsiTheme="minorBidi"/>
          <w:color w:val="000000"/>
          <w:sz w:val="24"/>
          <w:szCs w:val="24"/>
          <w:shd w:val="clear" w:color="auto" w:fill="FFFFFF"/>
          <w:lang w:eastAsia="en-US" w:bidi="ar-SA"/>
        </w:rPr>
        <w:t>It is currently allowing an extensive inquest into the death</w:t>
      </w:r>
      <w:r>
        <w:rPr>
          <w:rFonts w:asciiTheme="minorBidi" w:eastAsiaTheme="minorHAnsi" w:hAnsiTheme="minorBidi"/>
          <w:color w:val="000000"/>
          <w:sz w:val="24"/>
          <w:szCs w:val="24"/>
          <w:shd w:val="clear" w:color="auto" w:fill="FFFFFF"/>
          <w:lang w:eastAsia="en-US" w:bidi="ar-SA"/>
        </w:rPr>
        <w:t xml:space="preserve"> of Jimmy Mubenga</w:t>
      </w:r>
      <w:r w:rsidR="004F1FCE">
        <w:rPr>
          <w:rFonts w:asciiTheme="minorBidi" w:eastAsiaTheme="minorHAnsi" w:hAnsiTheme="minorBidi"/>
          <w:color w:val="000000"/>
          <w:sz w:val="24"/>
          <w:szCs w:val="24"/>
          <w:shd w:val="clear" w:color="auto" w:fill="FFFFFF"/>
          <w:lang w:eastAsia="en-US" w:bidi="ar-SA"/>
        </w:rPr>
        <w:t xml:space="preserve"> </w:t>
      </w:r>
      <w:r w:rsidR="003B6118" w:rsidRPr="003B6118">
        <w:rPr>
          <w:rFonts w:asciiTheme="minorBidi" w:eastAsiaTheme="minorHAnsi" w:hAnsiTheme="minorBidi"/>
          <w:color w:val="000000"/>
          <w:sz w:val="24"/>
          <w:szCs w:val="24"/>
          <w:shd w:val="clear" w:color="auto" w:fill="FFFFFF"/>
          <w:lang w:eastAsia="en-US" w:bidi="ar-SA"/>
        </w:rPr>
        <w:t xml:space="preserve">while under restraint by Home Office-contracted operatives of the private security firm G4S. These cases involved people who were either lawful British residents (Mohammed), detained by British authorities (Musa and </w:t>
      </w:r>
      <w:proofErr w:type="spellStart"/>
      <w:r w:rsidR="003B6118" w:rsidRPr="003B6118">
        <w:rPr>
          <w:rFonts w:asciiTheme="minorBidi" w:eastAsiaTheme="minorHAnsi" w:hAnsiTheme="minorBidi"/>
          <w:color w:val="000000"/>
          <w:sz w:val="24"/>
          <w:szCs w:val="24"/>
          <w:shd w:val="clear" w:color="auto" w:fill="FFFFFF"/>
          <w:lang w:eastAsia="en-US" w:bidi="ar-SA"/>
        </w:rPr>
        <w:t>Mubenga</w:t>
      </w:r>
      <w:proofErr w:type="spellEnd"/>
      <w:r w:rsidR="003B6118" w:rsidRPr="003B6118">
        <w:rPr>
          <w:rFonts w:asciiTheme="minorBidi" w:eastAsiaTheme="minorHAnsi" w:hAnsiTheme="minorBidi"/>
          <w:color w:val="000000"/>
          <w:sz w:val="24"/>
          <w:szCs w:val="24"/>
          <w:shd w:val="clear" w:color="auto" w:fill="FFFFFF"/>
          <w:lang w:eastAsia="en-US" w:bidi="ar-SA"/>
        </w:rPr>
        <w:t>) or colonial subjects (Mau Mau). On any reasonable measure they would clearly, then, have a strong connection to the UK, and yet the residence test would preclude all of their cases from being heard.</w:t>
      </w:r>
      <w:r w:rsidR="003B6118" w:rsidRPr="00B82898">
        <w:rPr>
          <w:rFonts w:asciiTheme="minorBidi" w:eastAsiaTheme="minorHAnsi" w:hAnsiTheme="minorBidi"/>
          <w:color w:val="000000"/>
          <w:sz w:val="24"/>
          <w:szCs w:val="24"/>
          <w:shd w:val="clear" w:color="auto" w:fill="FFFFFF"/>
          <w:lang w:eastAsia="en-US" w:bidi="ar-SA"/>
        </w:rPr>
        <w:t xml:space="preserve"> While the consultation paper contains assumptions about claimants turning to alternatives to legal aid in the event of these changes becoming law, it is fanciful to suggest that any such alternatives would be available or appropriate in these cases. Thus, cases that have served </w:t>
      </w:r>
      <w:r>
        <w:rPr>
          <w:rFonts w:asciiTheme="minorBidi" w:eastAsiaTheme="minorHAnsi" w:hAnsiTheme="minorBidi"/>
          <w:color w:val="000000"/>
          <w:sz w:val="24"/>
          <w:szCs w:val="24"/>
          <w:shd w:val="clear" w:color="auto" w:fill="FFFFFF"/>
          <w:lang w:eastAsia="en-US" w:bidi="ar-SA"/>
        </w:rPr>
        <w:t xml:space="preserve">a </w:t>
      </w:r>
      <w:r w:rsidR="003B6118" w:rsidRPr="00B82898">
        <w:rPr>
          <w:rFonts w:asciiTheme="minorBidi" w:eastAsiaTheme="minorHAnsi" w:hAnsiTheme="minorBidi"/>
          <w:color w:val="000000"/>
          <w:sz w:val="24"/>
          <w:szCs w:val="24"/>
          <w:shd w:val="clear" w:color="auto" w:fill="FFFFFF"/>
          <w:lang w:eastAsia="en-US" w:bidi="ar-SA"/>
        </w:rPr>
        <w:t>vital public service in exposing illegal and violent actions by agents of the State will not occur again if the residence test is imposed.</w:t>
      </w:r>
    </w:p>
    <w:p w:rsidR="00962095" w:rsidRPr="00B82898" w:rsidRDefault="00962095" w:rsidP="00962095">
      <w:pPr>
        <w:jc w:val="both"/>
        <w:rPr>
          <w:rFonts w:asciiTheme="minorBidi" w:hAnsiTheme="minorBidi"/>
          <w:i/>
          <w:iCs/>
          <w:sz w:val="24"/>
          <w:szCs w:val="24"/>
          <w:lang w:val="en-US" w:bidi="ar-SA"/>
        </w:rPr>
      </w:pPr>
      <w:r w:rsidRPr="00B82898">
        <w:rPr>
          <w:rFonts w:asciiTheme="minorBidi" w:hAnsiTheme="minorBidi"/>
          <w:i/>
          <w:iCs/>
          <w:sz w:val="24"/>
          <w:szCs w:val="24"/>
          <w:lang w:val="en-US" w:bidi="ar-SA"/>
        </w:rPr>
        <w:t xml:space="preserve">The UK’s obligations under the </w:t>
      </w:r>
      <w:r>
        <w:rPr>
          <w:rFonts w:asciiTheme="minorBidi" w:hAnsiTheme="minorBidi"/>
          <w:i/>
          <w:iCs/>
          <w:sz w:val="24"/>
          <w:szCs w:val="24"/>
          <w:lang w:val="en-US" w:bidi="ar-SA"/>
        </w:rPr>
        <w:t>European and International Law</w:t>
      </w:r>
    </w:p>
    <w:p w:rsidR="00962095" w:rsidRPr="00B82898" w:rsidRDefault="00962095" w:rsidP="00C94923">
      <w:pPr>
        <w:jc w:val="both"/>
        <w:rPr>
          <w:rFonts w:asciiTheme="minorBidi" w:hAnsiTheme="minorBidi"/>
          <w:sz w:val="24"/>
          <w:szCs w:val="24"/>
          <w:lang w:bidi="ar-SA"/>
        </w:rPr>
      </w:pPr>
      <w:r w:rsidRPr="00B82898">
        <w:rPr>
          <w:rFonts w:asciiTheme="minorBidi" w:hAnsiTheme="minorBidi"/>
          <w:sz w:val="24"/>
          <w:szCs w:val="24"/>
          <w:lang w:bidi="ar-SA"/>
        </w:rPr>
        <w:t xml:space="preserve">The </w:t>
      </w:r>
      <w:r w:rsidR="00C94923">
        <w:rPr>
          <w:rFonts w:asciiTheme="minorBidi" w:hAnsiTheme="minorBidi"/>
          <w:sz w:val="24"/>
          <w:szCs w:val="24"/>
          <w:lang w:bidi="ar-SA"/>
        </w:rPr>
        <w:t>consultation paper</w:t>
      </w:r>
      <w:r w:rsidR="004F1FCE">
        <w:rPr>
          <w:rFonts w:asciiTheme="minorBidi" w:hAnsiTheme="minorBidi"/>
          <w:sz w:val="24"/>
          <w:szCs w:val="24"/>
          <w:lang w:bidi="ar-SA"/>
        </w:rPr>
        <w:t xml:space="preserve"> </w:t>
      </w:r>
      <w:r w:rsidRPr="00B82898">
        <w:rPr>
          <w:rFonts w:asciiTheme="minorBidi" w:hAnsiTheme="minorBidi"/>
          <w:sz w:val="24"/>
          <w:szCs w:val="24"/>
          <w:lang w:bidi="ar-SA"/>
        </w:rPr>
        <w:t xml:space="preserve">states that the UK government would continue to adhere to their obligations under EU and international law (3.53). However, it is unclear from the consultation paper exactly how this will be achieved. The significant implications of the proposed residence test for the UK’s transnational obligations are belied by the short thrift afforded to this particular point in the </w:t>
      </w:r>
      <w:r w:rsidR="00C94923">
        <w:rPr>
          <w:rFonts w:asciiTheme="minorBidi" w:hAnsiTheme="minorBidi"/>
          <w:sz w:val="24"/>
          <w:szCs w:val="24"/>
          <w:lang w:bidi="ar-SA"/>
        </w:rPr>
        <w:t>document</w:t>
      </w:r>
      <w:r w:rsidRPr="00B82898">
        <w:rPr>
          <w:rFonts w:asciiTheme="minorBidi" w:hAnsiTheme="minorBidi"/>
          <w:sz w:val="24"/>
          <w:szCs w:val="24"/>
          <w:lang w:bidi="ar-SA"/>
        </w:rPr>
        <w:t xml:space="preserve">.   </w:t>
      </w:r>
    </w:p>
    <w:p w:rsidR="00386A73" w:rsidRDefault="00962095" w:rsidP="000148A3">
      <w:pPr>
        <w:jc w:val="both"/>
        <w:rPr>
          <w:rFonts w:asciiTheme="minorBidi" w:hAnsiTheme="minorBidi"/>
          <w:sz w:val="24"/>
          <w:szCs w:val="24"/>
          <w:lang w:val="en-US" w:bidi="ar-SA"/>
        </w:rPr>
      </w:pPr>
      <w:r w:rsidRPr="00DA6E21">
        <w:rPr>
          <w:rFonts w:asciiTheme="minorBidi" w:hAnsiTheme="minorBidi"/>
          <w:sz w:val="24"/>
          <w:szCs w:val="24"/>
          <w:lang w:bidi="ar-SA"/>
        </w:rPr>
        <w:t>The UK Government has undertaken as signatory (and one of the principle drafters) of the E</w:t>
      </w:r>
      <w:r w:rsidR="00C94923">
        <w:rPr>
          <w:rFonts w:asciiTheme="minorBidi" w:hAnsiTheme="minorBidi"/>
          <w:sz w:val="24"/>
          <w:szCs w:val="24"/>
          <w:lang w:bidi="ar-SA"/>
        </w:rPr>
        <w:t>uropean Convention on Human Rights (ECHR)</w:t>
      </w:r>
      <w:r w:rsidRPr="00DA6E21">
        <w:rPr>
          <w:rFonts w:asciiTheme="minorBidi" w:hAnsiTheme="minorBidi"/>
          <w:sz w:val="24"/>
          <w:szCs w:val="24"/>
          <w:lang w:bidi="ar-SA"/>
        </w:rPr>
        <w:t xml:space="preserve"> to “secure to everyone within their jurisdiction”</w:t>
      </w:r>
      <w:r w:rsidR="00777F7E">
        <w:rPr>
          <w:rStyle w:val="FootnoteReference"/>
          <w:sz w:val="24"/>
          <w:szCs w:val="24"/>
          <w:lang w:bidi="ar-SA"/>
        </w:rPr>
        <w:footnoteReference w:id="3"/>
      </w:r>
      <w:r w:rsidRPr="00DA6E21">
        <w:rPr>
          <w:rFonts w:asciiTheme="minorBidi" w:hAnsiTheme="minorBidi"/>
          <w:sz w:val="24"/>
          <w:szCs w:val="24"/>
          <w:lang w:bidi="ar-SA"/>
        </w:rPr>
        <w:t xml:space="preserve"> the rights and freedoms enshrined in the ECHR</w:t>
      </w:r>
      <w:r w:rsidRPr="00B82898">
        <w:rPr>
          <w:rFonts w:asciiTheme="minorBidi" w:hAnsiTheme="minorBidi"/>
          <w:sz w:val="24"/>
          <w:szCs w:val="24"/>
          <w:lang w:bidi="ar-SA"/>
        </w:rPr>
        <w:t>, including the right to a fair trial under Article 6 and the right not to be discriminat</w:t>
      </w:r>
      <w:r w:rsidR="00386A73">
        <w:rPr>
          <w:rFonts w:asciiTheme="minorBidi" w:hAnsiTheme="minorBidi"/>
          <w:sz w:val="24"/>
          <w:szCs w:val="24"/>
          <w:lang w:bidi="ar-SA"/>
        </w:rPr>
        <w:t>ed against in the enjoyment of</w:t>
      </w:r>
      <w:r w:rsidRPr="00B82898">
        <w:rPr>
          <w:rFonts w:asciiTheme="minorBidi" w:hAnsiTheme="minorBidi"/>
          <w:sz w:val="24"/>
          <w:szCs w:val="24"/>
          <w:lang w:bidi="ar-SA"/>
        </w:rPr>
        <w:t xml:space="preserve"> Con</w:t>
      </w:r>
      <w:r w:rsidR="00386A73">
        <w:rPr>
          <w:rFonts w:asciiTheme="minorBidi" w:hAnsiTheme="minorBidi"/>
          <w:sz w:val="24"/>
          <w:szCs w:val="24"/>
          <w:lang w:bidi="ar-SA"/>
        </w:rPr>
        <w:t xml:space="preserve">vention rights under Article 14. </w:t>
      </w:r>
      <w:r w:rsidR="00386A73" w:rsidRPr="00DA6E21">
        <w:rPr>
          <w:rFonts w:asciiTheme="minorBidi" w:hAnsiTheme="minorBidi"/>
          <w:sz w:val="24"/>
          <w:szCs w:val="24"/>
          <w:lang w:val="en-US" w:bidi="ar-SA"/>
        </w:rPr>
        <w:t xml:space="preserve">Although Article 14 ECHR (freedom </w:t>
      </w:r>
      <w:r w:rsidR="00386A73" w:rsidRPr="00DA6E21">
        <w:rPr>
          <w:rFonts w:asciiTheme="minorBidi" w:hAnsiTheme="minorBidi"/>
          <w:sz w:val="24"/>
          <w:szCs w:val="24"/>
          <w:lang w:val="en-US" w:bidi="ar-SA"/>
        </w:rPr>
        <w:lastRenderedPageBreak/>
        <w:t xml:space="preserve">from discrimination) must be claimed in conjunction with a another ECHR right, the Article </w:t>
      </w:r>
      <w:r w:rsidR="00C605B8">
        <w:rPr>
          <w:rFonts w:asciiTheme="minorBidi" w:hAnsiTheme="minorBidi"/>
          <w:sz w:val="24"/>
          <w:szCs w:val="24"/>
          <w:lang w:val="en-US" w:bidi="ar-SA"/>
        </w:rPr>
        <w:t xml:space="preserve">clearly states that one of the </w:t>
      </w:r>
      <w:r w:rsidR="00386A73" w:rsidRPr="00DA6E21">
        <w:rPr>
          <w:rFonts w:asciiTheme="minorBidi" w:hAnsiTheme="minorBidi"/>
          <w:sz w:val="24"/>
          <w:szCs w:val="24"/>
          <w:lang w:val="en-US" w:bidi="ar-SA"/>
        </w:rPr>
        <w:t xml:space="preserve">non-exhaustive </w:t>
      </w:r>
      <w:r w:rsidR="00C605B8" w:rsidRPr="00DA6E21">
        <w:rPr>
          <w:rFonts w:asciiTheme="minorBidi" w:hAnsiTheme="minorBidi"/>
          <w:sz w:val="24"/>
          <w:szCs w:val="24"/>
          <w:lang w:val="en-US" w:bidi="ar-SA"/>
        </w:rPr>
        <w:t>grounds</w:t>
      </w:r>
      <w:r w:rsidR="00C605B8" w:rsidRPr="00DA6E21">
        <w:rPr>
          <w:rFonts w:asciiTheme="minorBidi" w:hAnsiTheme="minorBidi"/>
          <w:i/>
          <w:sz w:val="24"/>
          <w:szCs w:val="24"/>
          <w:lang w:val="en-US" w:bidi="ar-SA"/>
        </w:rPr>
        <w:t xml:space="preserve"> </w:t>
      </w:r>
      <w:r w:rsidR="00C605B8">
        <w:rPr>
          <w:rFonts w:asciiTheme="minorBidi" w:hAnsiTheme="minorBidi"/>
          <w:i/>
          <w:sz w:val="24"/>
          <w:szCs w:val="24"/>
          <w:lang w:val="en-US" w:bidi="ar-SA"/>
        </w:rPr>
        <w:t>(</w:t>
      </w:r>
      <w:r w:rsidR="00386A73" w:rsidRPr="00DA6E21">
        <w:rPr>
          <w:rFonts w:asciiTheme="minorBidi" w:hAnsiTheme="minorBidi"/>
          <w:i/>
          <w:sz w:val="24"/>
          <w:szCs w:val="24"/>
          <w:lang w:val="en-US" w:bidi="ar-SA"/>
        </w:rPr>
        <w:t>Rasmussen v Denmark</w:t>
      </w:r>
      <w:r w:rsidR="00C605B8">
        <w:rPr>
          <w:rStyle w:val="FootnoteReference"/>
          <w:i/>
          <w:sz w:val="24"/>
          <w:szCs w:val="24"/>
          <w:lang w:val="en-US" w:bidi="ar-SA"/>
        </w:rPr>
        <w:footnoteReference w:id="4"/>
      </w:r>
      <w:r w:rsidR="00386A73" w:rsidRPr="00DA6E21">
        <w:rPr>
          <w:rFonts w:asciiTheme="minorBidi" w:hAnsiTheme="minorBidi"/>
          <w:sz w:val="24"/>
          <w:szCs w:val="24"/>
          <w:lang w:val="en-US" w:bidi="ar-SA"/>
        </w:rPr>
        <w:t xml:space="preserve">) upon which those subject to ECHR rights should be free from discrimination is “national or social origin”. </w:t>
      </w:r>
    </w:p>
    <w:p w:rsidR="00386A73" w:rsidRPr="00386A73" w:rsidRDefault="00386A73" w:rsidP="00C94923">
      <w:pPr>
        <w:jc w:val="both"/>
        <w:rPr>
          <w:rFonts w:asciiTheme="minorBidi" w:hAnsiTheme="minorBidi"/>
          <w:b/>
          <w:sz w:val="24"/>
          <w:szCs w:val="24"/>
          <w:lang w:val="en-US" w:bidi="ar-SA"/>
        </w:rPr>
      </w:pPr>
      <w:r w:rsidRPr="00DA6E21">
        <w:rPr>
          <w:rFonts w:asciiTheme="minorBidi" w:hAnsiTheme="minorBidi"/>
          <w:sz w:val="24"/>
          <w:szCs w:val="24"/>
          <w:lang w:val="en-US" w:bidi="ar-SA"/>
        </w:rPr>
        <w:t>The proposed residence test</w:t>
      </w:r>
      <w:r>
        <w:rPr>
          <w:rFonts w:asciiTheme="minorBidi" w:hAnsiTheme="minorBidi"/>
          <w:sz w:val="24"/>
          <w:szCs w:val="24"/>
          <w:lang w:val="en-US" w:bidi="ar-SA"/>
        </w:rPr>
        <w:t xml:space="preserve"> </w:t>
      </w:r>
      <w:r w:rsidRPr="00DA6E21">
        <w:rPr>
          <w:rFonts w:asciiTheme="minorBidi" w:hAnsiTheme="minorBidi"/>
          <w:sz w:val="24"/>
          <w:szCs w:val="24"/>
          <w:lang w:bidi="ar-SA"/>
        </w:rPr>
        <w:t>(3.48-3.54)</w:t>
      </w:r>
      <w:r w:rsidRPr="00DA6E21">
        <w:rPr>
          <w:rFonts w:asciiTheme="minorBidi" w:hAnsiTheme="minorBidi"/>
          <w:sz w:val="24"/>
          <w:szCs w:val="24"/>
          <w:lang w:val="en-US" w:bidi="ar-SA"/>
        </w:rPr>
        <w:t xml:space="preserve"> in its very nature clearly discriminates on this ground</w:t>
      </w:r>
      <w:r>
        <w:rPr>
          <w:rFonts w:asciiTheme="minorBidi" w:hAnsiTheme="minorBidi"/>
          <w:sz w:val="24"/>
          <w:szCs w:val="24"/>
          <w:lang w:val="en-US" w:bidi="ar-SA"/>
        </w:rPr>
        <w:t xml:space="preserve"> </w:t>
      </w:r>
      <w:r w:rsidR="00C94923">
        <w:rPr>
          <w:rFonts w:asciiTheme="minorBidi" w:hAnsiTheme="minorBidi"/>
          <w:sz w:val="24"/>
          <w:szCs w:val="24"/>
          <w:lang w:val="en-US" w:bidi="ar-SA"/>
        </w:rPr>
        <w:t>by explicitly excluding</w:t>
      </w:r>
      <w:r w:rsidR="00962095" w:rsidRPr="00DA6E21">
        <w:rPr>
          <w:rFonts w:asciiTheme="minorBidi" w:hAnsiTheme="minorBidi"/>
          <w:sz w:val="24"/>
          <w:szCs w:val="24"/>
          <w:lang w:bidi="ar-SA"/>
        </w:rPr>
        <w:t xml:space="preserve"> foreign nationals </w:t>
      </w:r>
      <w:r w:rsidR="00962095" w:rsidRPr="00B82898">
        <w:rPr>
          <w:rFonts w:asciiTheme="minorBidi" w:hAnsiTheme="minorBidi"/>
          <w:sz w:val="24"/>
          <w:szCs w:val="24"/>
          <w:lang w:bidi="ar-SA"/>
        </w:rPr>
        <w:t xml:space="preserve">who do not meet the lawful residence criteria </w:t>
      </w:r>
      <w:r w:rsidR="0044758B">
        <w:rPr>
          <w:rFonts w:asciiTheme="minorBidi" w:hAnsiTheme="minorBidi"/>
          <w:sz w:val="24"/>
          <w:szCs w:val="24"/>
          <w:lang w:bidi="ar-SA"/>
        </w:rPr>
        <w:t>of</w:t>
      </w:r>
      <w:r w:rsidR="00962095" w:rsidRPr="00DA6E21">
        <w:rPr>
          <w:rFonts w:asciiTheme="minorBidi" w:hAnsiTheme="minorBidi"/>
          <w:sz w:val="24"/>
          <w:szCs w:val="24"/>
          <w:lang w:bidi="ar-SA"/>
        </w:rPr>
        <w:t xml:space="preserve"> the proposed legal aid regime</w:t>
      </w:r>
      <w:r w:rsidR="00962095">
        <w:rPr>
          <w:rFonts w:asciiTheme="minorBidi" w:hAnsiTheme="minorBidi"/>
          <w:sz w:val="24"/>
          <w:szCs w:val="24"/>
          <w:lang w:bidi="ar-SA"/>
        </w:rPr>
        <w:t>.</w:t>
      </w:r>
      <w:r w:rsidR="00962095" w:rsidRPr="00DA6E21">
        <w:rPr>
          <w:rFonts w:asciiTheme="minorBidi" w:hAnsiTheme="minorBidi"/>
          <w:sz w:val="24"/>
          <w:szCs w:val="24"/>
          <w:lang w:bidi="ar-SA"/>
        </w:rPr>
        <w:t xml:space="preserve"> </w:t>
      </w:r>
      <w:r w:rsidR="00962095" w:rsidRPr="00B82898">
        <w:rPr>
          <w:rFonts w:asciiTheme="minorBidi" w:hAnsiTheme="minorBidi"/>
          <w:sz w:val="24"/>
          <w:szCs w:val="24"/>
          <w:lang w:bidi="ar-SA"/>
        </w:rPr>
        <w:t>This</w:t>
      </w:r>
      <w:r w:rsidR="00962095" w:rsidRPr="00DA6E21">
        <w:rPr>
          <w:rFonts w:asciiTheme="minorBidi" w:hAnsiTheme="minorBidi"/>
          <w:sz w:val="24"/>
          <w:szCs w:val="24"/>
          <w:lang w:bidi="ar-SA"/>
        </w:rPr>
        <w:t xml:space="preserve"> </w:t>
      </w:r>
      <w:r w:rsidR="00962095" w:rsidRPr="00B82898">
        <w:rPr>
          <w:rFonts w:asciiTheme="minorBidi" w:hAnsiTheme="minorBidi"/>
          <w:sz w:val="24"/>
          <w:szCs w:val="24"/>
          <w:lang w:bidi="ar-SA"/>
        </w:rPr>
        <w:t xml:space="preserve">would thus appear to fall foul of Article 6 in conjunction with Article 14.  </w:t>
      </w:r>
      <w:r w:rsidR="00962095" w:rsidRPr="00DA6E21">
        <w:rPr>
          <w:rFonts w:asciiTheme="minorBidi" w:hAnsiTheme="minorBidi"/>
          <w:sz w:val="24"/>
          <w:szCs w:val="24"/>
          <w:lang w:bidi="ar-SA"/>
        </w:rPr>
        <w:t>Excluding applicants on the basis of a residence test</w:t>
      </w:r>
      <w:r w:rsidR="00C94923">
        <w:rPr>
          <w:rFonts w:asciiTheme="minorBidi" w:hAnsiTheme="minorBidi"/>
          <w:sz w:val="24"/>
          <w:szCs w:val="24"/>
          <w:lang w:bidi="ar-SA"/>
        </w:rPr>
        <w:t>,</w:t>
      </w:r>
      <w:r w:rsidR="00962095" w:rsidRPr="00DA6E21">
        <w:rPr>
          <w:rFonts w:asciiTheme="minorBidi" w:hAnsiTheme="minorBidi"/>
          <w:sz w:val="24"/>
          <w:szCs w:val="24"/>
          <w:lang w:bidi="ar-SA"/>
        </w:rPr>
        <w:t xml:space="preserve"> and therefore nationality, is a retrograde step which offends </w:t>
      </w:r>
      <w:r>
        <w:rPr>
          <w:rFonts w:asciiTheme="minorBidi" w:hAnsiTheme="minorBidi"/>
          <w:sz w:val="24"/>
          <w:szCs w:val="24"/>
          <w:lang w:bidi="ar-SA"/>
        </w:rPr>
        <w:t xml:space="preserve">not only </w:t>
      </w:r>
      <w:r w:rsidR="00962095" w:rsidRPr="00DA6E21">
        <w:rPr>
          <w:rFonts w:asciiTheme="minorBidi" w:hAnsiTheme="minorBidi"/>
          <w:sz w:val="24"/>
          <w:szCs w:val="24"/>
          <w:lang w:bidi="ar-SA"/>
        </w:rPr>
        <w:t>against the rights enshrined in the ECHR</w:t>
      </w:r>
      <w:r w:rsidR="00962095" w:rsidRPr="00B82898">
        <w:rPr>
          <w:rFonts w:asciiTheme="minorBidi" w:hAnsiTheme="minorBidi"/>
          <w:sz w:val="24"/>
          <w:szCs w:val="24"/>
          <w:lang w:bidi="ar-SA"/>
        </w:rPr>
        <w:t xml:space="preserve"> </w:t>
      </w:r>
      <w:r>
        <w:rPr>
          <w:rFonts w:asciiTheme="minorBidi" w:hAnsiTheme="minorBidi"/>
          <w:sz w:val="24"/>
          <w:szCs w:val="24"/>
          <w:lang w:bidi="ar-SA"/>
        </w:rPr>
        <w:t xml:space="preserve">but also against established principles of </w:t>
      </w:r>
      <w:r w:rsidRPr="00DA6E21">
        <w:rPr>
          <w:rFonts w:asciiTheme="minorBidi" w:hAnsiTheme="minorBidi"/>
          <w:sz w:val="24"/>
          <w:szCs w:val="24"/>
          <w:lang w:val="en-US" w:bidi="ar-SA"/>
        </w:rPr>
        <w:t xml:space="preserve">EU </w:t>
      </w:r>
      <w:r>
        <w:rPr>
          <w:rFonts w:asciiTheme="minorBidi" w:hAnsiTheme="minorBidi"/>
          <w:sz w:val="24"/>
          <w:szCs w:val="24"/>
          <w:lang w:val="en-US" w:bidi="ar-SA"/>
        </w:rPr>
        <w:t xml:space="preserve">Law </w:t>
      </w:r>
      <w:r w:rsidRPr="00DA6E21">
        <w:rPr>
          <w:rFonts w:asciiTheme="minorBidi" w:hAnsiTheme="minorBidi"/>
          <w:sz w:val="24"/>
          <w:szCs w:val="24"/>
          <w:lang w:val="en-US" w:bidi="ar-SA"/>
        </w:rPr>
        <w:t>to be free from discrimination on the basis of nationality.</w:t>
      </w:r>
      <w:r w:rsidR="000148A3">
        <w:rPr>
          <w:rStyle w:val="FootnoteReference"/>
          <w:sz w:val="24"/>
          <w:szCs w:val="24"/>
          <w:lang w:val="en-US" w:bidi="ar-SA"/>
        </w:rPr>
        <w:footnoteReference w:id="5"/>
      </w:r>
      <w:r w:rsidR="00DD586F">
        <w:rPr>
          <w:rFonts w:asciiTheme="minorBidi" w:hAnsiTheme="minorBidi"/>
          <w:sz w:val="24"/>
          <w:szCs w:val="24"/>
          <w:lang w:val="en-US" w:bidi="ar-SA"/>
        </w:rPr>
        <w:t xml:space="preserve"> The residency requirement poses problems which would need to be addressed in relation to EU citizenship and residency and rights derived therefrom</w:t>
      </w:r>
      <w:r w:rsidR="000148A3">
        <w:rPr>
          <w:rFonts w:asciiTheme="minorBidi" w:hAnsiTheme="minorBidi"/>
          <w:sz w:val="24"/>
          <w:szCs w:val="24"/>
          <w:lang w:val="en-US" w:bidi="ar-SA"/>
        </w:rPr>
        <w:t>.</w:t>
      </w:r>
      <w:r w:rsidR="00DD586F">
        <w:rPr>
          <w:rStyle w:val="FootnoteReference"/>
          <w:sz w:val="24"/>
          <w:szCs w:val="24"/>
          <w:lang w:val="en-US" w:bidi="ar-SA"/>
        </w:rPr>
        <w:footnoteReference w:id="6"/>
      </w:r>
      <w:r w:rsidR="00DD586F">
        <w:rPr>
          <w:rFonts w:asciiTheme="minorBidi" w:hAnsiTheme="minorBidi"/>
          <w:sz w:val="24"/>
          <w:szCs w:val="24"/>
          <w:lang w:val="en-US" w:bidi="ar-SA"/>
        </w:rPr>
        <w:t xml:space="preserve"> </w:t>
      </w:r>
      <w:r>
        <w:rPr>
          <w:rFonts w:asciiTheme="minorBidi" w:hAnsiTheme="minorBidi"/>
          <w:sz w:val="24"/>
          <w:szCs w:val="24"/>
          <w:lang w:val="en-US" w:bidi="ar-SA"/>
        </w:rPr>
        <w:t xml:space="preserve"> </w:t>
      </w:r>
    </w:p>
    <w:p w:rsidR="00F11BA2" w:rsidRPr="00B82898" w:rsidRDefault="00F11BA2" w:rsidP="004F1FCE">
      <w:pPr>
        <w:jc w:val="both"/>
        <w:rPr>
          <w:rFonts w:asciiTheme="minorBidi" w:hAnsiTheme="minorBidi"/>
          <w:iCs/>
          <w:sz w:val="24"/>
          <w:szCs w:val="24"/>
          <w:lang w:val="en-US" w:bidi="ar-SA"/>
        </w:rPr>
      </w:pPr>
      <w:r w:rsidRPr="00B82898">
        <w:rPr>
          <w:rFonts w:asciiTheme="minorBidi" w:hAnsiTheme="minorBidi"/>
          <w:sz w:val="24"/>
          <w:szCs w:val="24"/>
          <w:lang w:val="en-US" w:bidi="ar-SA"/>
        </w:rPr>
        <w:t>It is submitted that</w:t>
      </w:r>
      <w:r w:rsidRPr="0052005A">
        <w:rPr>
          <w:rFonts w:asciiTheme="minorBidi" w:hAnsiTheme="minorBidi"/>
          <w:sz w:val="24"/>
          <w:szCs w:val="24"/>
          <w:lang w:val="en-US" w:bidi="ar-SA"/>
        </w:rPr>
        <w:t xml:space="preserve"> the proposed residence test </w:t>
      </w:r>
      <w:r w:rsidRPr="00B82898">
        <w:rPr>
          <w:rFonts w:asciiTheme="minorBidi" w:hAnsiTheme="minorBidi"/>
          <w:sz w:val="24"/>
          <w:szCs w:val="24"/>
          <w:lang w:val="en-US" w:bidi="ar-SA"/>
        </w:rPr>
        <w:t>would effectively</w:t>
      </w:r>
      <w:r w:rsidRPr="0052005A">
        <w:rPr>
          <w:rFonts w:asciiTheme="minorBidi" w:hAnsiTheme="minorBidi"/>
          <w:sz w:val="24"/>
          <w:szCs w:val="24"/>
          <w:lang w:val="en-US" w:bidi="ar-SA"/>
        </w:rPr>
        <w:t xml:space="preserve"> destroy the essence of the right to fair trial and access to justice of </w:t>
      </w:r>
      <w:r w:rsidR="004F1FCE">
        <w:rPr>
          <w:rFonts w:asciiTheme="minorBidi" w:hAnsiTheme="minorBidi"/>
          <w:sz w:val="24"/>
          <w:szCs w:val="24"/>
          <w:lang w:val="en-US" w:bidi="ar-SA"/>
        </w:rPr>
        <w:t xml:space="preserve">many </w:t>
      </w:r>
      <w:r w:rsidRPr="0052005A">
        <w:rPr>
          <w:rFonts w:asciiTheme="minorBidi" w:hAnsiTheme="minorBidi"/>
          <w:sz w:val="24"/>
          <w:szCs w:val="24"/>
          <w:lang w:val="en-US" w:bidi="ar-SA"/>
        </w:rPr>
        <w:t>foreign nationals</w:t>
      </w:r>
      <w:r w:rsidRPr="00B82898">
        <w:rPr>
          <w:rFonts w:asciiTheme="minorBidi" w:hAnsiTheme="minorBidi"/>
          <w:sz w:val="24"/>
          <w:szCs w:val="24"/>
          <w:lang w:val="en-US" w:bidi="ar-SA"/>
        </w:rPr>
        <w:t>.  Furthermore, they  preclude</w:t>
      </w:r>
      <w:r w:rsidRPr="0052005A">
        <w:rPr>
          <w:rFonts w:asciiTheme="minorBidi" w:hAnsiTheme="minorBidi"/>
          <w:sz w:val="24"/>
          <w:szCs w:val="24"/>
          <w:lang w:val="en-US" w:bidi="ar-SA"/>
        </w:rPr>
        <w:t xml:space="preserve"> the possibility of considering whether other rights under the ECHR have been</w:t>
      </w:r>
      <w:r w:rsidR="004F1FCE">
        <w:rPr>
          <w:rFonts w:asciiTheme="minorBidi" w:hAnsiTheme="minorBidi"/>
          <w:sz w:val="24"/>
          <w:szCs w:val="24"/>
          <w:lang w:val="en-US" w:bidi="ar-SA"/>
        </w:rPr>
        <w:t>,</w:t>
      </w:r>
      <w:r w:rsidRPr="0052005A">
        <w:rPr>
          <w:rFonts w:asciiTheme="minorBidi" w:hAnsiTheme="minorBidi"/>
          <w:sz w:val="24"/>
          <w:szCs w:val="24"/>
          <w:lang w:val="en-US" w:bidi="ar-SA"/>
        </w:rPr>
        <w:t xml:space="preserve"> or are in danger of being</w:t>
      </w:r>
      <w:r w:rsidR="004F1FCE">
        <w:rPr>
          <w:rFonts w:asciiTheme="minorBidi" w:hAnsiTheme="minorBidi"/>
          <w:sz w:val="24"/>
          <w:szCs w:val="24"/>
          <w:lang w:val="en-US" w:bidi="ar-SA"/>
        </w:rPr>
        <w:t>,</w:t>
      </w:r>
      <w:r w:rsidRPr="0052005A">
        <w:rPr>
          <w:rFonts w:asciiTheme="minorBidi" w:hAnsiTheme="minorBidi"/>
          <w:sz w:val="24"/>
          <w:szCs w:val="24"/>
          <w:lang w:val="en-US" w:bidi="ar-SA"/>
        </w:rPr>
        <w:t xml:space="preserve"> nullified</w:t>
      </w:r>
      <w:r w:rsidRPr="00B82898">
        <w:rPr>
          <w:rFonts w:asciiTheme="minorBidi" w:hAnsiTheme="minorBidi"/>
          <w:sz w:val="24"/>
          <w:szCs w:val="24"/>
          <w:lang w:val="en-US" w:bidi="ar-SA"/>
        </w:rPr>
        <w:t xml:space="preserve"> by potential removal from the jurisdiction, an extremely worrying development from a human rights perspective</w:t>
      </w:r>
      <w:r w:rsidRPr="0052005A">
        <w:rPr>
          <w:rFonts w:asciiTheme="minorBidi" w:hAnsiTheme="minorBidi"/>
          <w:sz w:val="24"/>
          <w:szCs w:val="24"/>
          <w:lang w:val="en-US" w:bidi="ar-SA"/>
        </w:rPr>
        <w:t>.</w:t>
      </w:r>
      <w:r w:rsidRPr="00B82898">
        <w:rPr>
          <w:rFonts w:asciiTheme="minorBidi" w:hAnsiTheme="minorBidi"/>
          <w:sz w:val="24"/>
          <w:szCs w:val="24"/>
          <w:lang w:val="en-US" w:bidi="ar-SA"/>
        </w:rPr>
        <w:t xml:space="preserve">  The Supreme Court of the United Kingdom has developed case law to deal with so-called “foreign cases”</w:t>
      </w:r>
      <w:r w:rsidRPr="00B82898">
        <w:rPr>
          <w:rFonts w:asciiTheme="minorBidi" w:hAnsiTheme="minorBidi"/>
          <w:sz w:val="24"/>
          <w:szCs w:val="24"/>
          <w:vertAlign w:val="superscript"/>
          <w:lang w:val="en-US" w:bidi="ar-SA"/>
        </w:rPr>
        <w:footnoteReference w:id="7"/>
      </w:r>
      <w:r w:rsidRPr="00B82898">
        <w:rPr>
          <w:rFonts w:asciiTheme="minorBidi" w:hAnsiTheme="minorBidi"/>
          <w:sz w:val="24"/>
          <w:szCs w:val="24"/>
          <w:lang w:val="en-US" w:bidi="ar-SA"/>
        </w:rPr>
        <w:t xml:space="preserve"> (see </w:t>
      </w:r>
      <w:proofErr w:type="spellStart"/>
      <w:r w:rsidRPr="00B82898">
        <w:rPr>
          <w:rFonts w:asciiTheme="minorBidi" w:hAnsiTheme="minorBidi"/>
          <w:i/>
          <w:sz w:val="24"/>
          <w:szCs w:val="24"/>
          <w:lang w:val="en-US" w:bidi="ar-SA"/>
        </w:rPr>
        <w:t>Ullah</w:t>
      </w:r>
      <w:proofErr w:type="spellEnd"/>
      <w:r w:rsidRPr="00B82898">
        <w:rPr>
          <w:rFonts w:asciiTheme="minorBidi" w:hAnsiTheme="minorBidi"/>
          <w:i/>
          <w:sz w:val="24"/>
          <w:szCs w:val="24"/>
          <w:lang w:val="en-US" w:bidi="ar-SA"/>
        </w:rPr>
        <w:t>, Do</w:t>
      </w:r>
      <w:r>
        <w:rPr>
          <w:rStyle w:val="FootnoteReference"/>
          <w:i/>
          <w:sz w:val="24"/>
          <w:szCs w:val="24"/>
          <w:lang w:val="en-US" w:bidi="ar-SA"/>
        </w:rPr>
        <w:footnoteReference w:id="8"/>
      </w:r>
      <w:r w:rsidRPr="00B82898">
        <w:rPr>
          <w:rFonts w:asciiTheme="minorBidi" w:hAnsiTheme="minorBidi"/>
          <w:sz w:val="24"/>
          <w:szCs w:val="24"/>
          <w:lang w:val="en-US" w:bidi="ar-SA"/>
        </w:rPr>
        <w:t xml:space="preserve">, </w:t>
      </w:r>
      <w:proofErr w:type="spellStart"/>
      <w:r w:rsidRPr="00B82898">
        <w:rPr>
          <w:rFonts w:asciiTheme="minorBidi" w:hAnsiTheme="minorBidi"/>
          <w:i/>
          <w:sz w:val="24"/>
          <w:szCs w:val="24"/>
          <w:lang w:val="en-US" w:bidi="ar-SA"/>
        </w:rPr>
        <w:t>Devaseelan</w:t>
      </w:r>
      <w:proofErr w:type="spellEnd"/>
      <w:r>
        <w:rPr>
          <w:rStyle w:val="FootnoteReference"/>
          <w:i/>
          <w:sz w:val="24"/>
          <w:szCs w:val="24"/>
          <w:lang w:val="en-US" w:bidi="ar-SA"/>
        </w:rPr>
        <w:footnoteReference w:id="9"/>
      </w:r>
      <w:r w:rsidRPr="00B82898">
        <w:rPr>
          <w:rFonts w:asciiTheme="minorBidi" w:hAnsiTheme="minorBidi"/>
          <w:sz w:val="24"/>
          <w:szCs w:val="24"/>
          <w:lang w:val="en-US" w:bidi="ar-SA"/>
        </w:rPr>
        <w:t xml:space="preserve">, </w:t>
      </w:r>
      <w:r>
        <w:rPr>
          <w:rFonts w:asciiTheme="minorBidi" w:hAnsiTheme="minorBidi"/>
          <w:i/>
          <w:sz w:val="24"/>
          <w:szCs w:val="24"/>
          <w:lang w:val="en-US" w:bidi="ar-SA"/>
        </w:rPr>
        <w:t>EM Lebanon</w:t>
      </w:r>
      <w:r w:rsidR="00C94923">
        <w:rPr>
          <w:rStyle w:val="FootnoteReference"/>
          <w:rFonts w:eastAsiaTheme="minorHAnsi"/>
          <w:i/>
          <w:color w:val="000000"/>
          <w:sz w:val="24"/>
          <w:szCs w:val="24"/>
          <w:shd w:val="clear" w:color="auto" w:fill="FFFFFF"/>
          <w:lang w:eastAsia="en-US" w:bidi="ar-SA"/>
        </w:rPr>
        <w:footnoteReference w:id="10"/>
      </w:r>
      <w:r w:rsidRPr="006C1B9B">
        <w:rPr>
          <w:rFonts w:asciiTheme="minorBidi" w:hAnsiTheme="minorBidi"/>
          <w:sz w:val="24"/>
          <w:szCs w:val="24"/>
          <w:lang w:val="en-US" w:bidi="ar-SA"/>
        </w:rPr>
        <w:t>)</w:t>
      </w:r>
      <w:r w:rsidRPr="00B82898">
        <w:rPr>
          <w:rFonts w:asciiTheme="minorBidi" w:hAnsiTheme="minorBidi"/>
          <w:i/>
          <w:sz w:val="24"/>
          <w:szCs w:val="24"/>
          <w:lang w:val="en-US" w:bidi="ar-SA"/>
        </w:rPr>
        <w:t xml:space="preserve">, </w:t>
      </w:r>
      <w:r w:rsidRPr="00B82898">
        <w:rPr>
          <w:rFonts w:asciiTheme="minorBidi" w:hAnsiTheme="minorBidi"/>
          <w:iCs/>
          <w:sz w:val="24"/>
          <w:szCs w:val="24"/>
          <w:lang w:val="en-US" w:bidi="ar-SA"/>
        </w:rPr>
        <w:t xml:space="preserve">which </w:t>
      </w:r>
      <w:r w:rsidRPr="001D7A82">
        <w:rPr>
          <w:rFonts w:asciiTheme="minorBidi" w:eastAsia="Times New Roman" w:hAnsiTheme="minorBidi"/>
          <w:color w:val="000000"/>
          <w:sz w:val="24"/>
          <w:szCs w:val="24"/>
          <w:lang w:eastAsia="zh-TW"/>
        </w:rPr>
        <w:t>"</w:t>
      </w:r>
      <w:r w:rsidRPr="001D7A82">
        <w:rPr>
          <w:rFonts w:asciiTheme="minorBidi" w:eastAsia="PMingLiU" w:hAnsiTheme="minorBidi"/>
          <w:color w:val="000000"/>
          <w:sz w:val="24"/>
          <w:szCs w:val="24"/>
          <w:lang w:eastAsia="zh-TW"/>
        </w:rPr>
        <w:t>represent an exception to the general rule that a state is only responsible for what goes on within its own territory or control. The Strasbourg court clearly regards them as exceptional.</w:t>
      </w:r>
      <w:r w:rsidR="004F1FCE">
        <w:rPr>
          <w:rFonts w:asciiTheme="minorBidi" w:eastAsia="PMingLiU" w:hAnsiTheme="minorBidi"/>
          <w:color w:val="000000"/>
          <w:sz w:val="24"/>
          <w:szCs w:val="24"/>
          <w:lang w:eastAsia="zh-TW"/>
        </w:rPr>
        <w:t xml:space="preserve"> </w:t>
      </w:r>
      <w:r w:rsidRPr="001D7A82">
        <w:rPr>
          <w:rFonts w:asciiTheme="minorBidi" w:eastAsia="PMingLiU" w:hAnsiTheme="minorBidi"/>
          <w:color w:val="000000"/>
          <w:sz w:val="24"/>
          <w:szCs w:val="24"/>
          <w:lang w:eastAsia="zh-TW"/>
        </w:rPr>
        <w:t>But there clearly is some additional threshold test indicating the enormity of the violation to which the person is likely to be exposed if returned."</w:t>
      </w:r>
      <w:r w:rsidRPr="00B82898">
        <w:rPr>
          <w:rFonts w:asciiTheme="minorBidi" w:eastAsia="PMingLiU" w:hAnsiTheme="minorBidi"/>
          <w:color w:val="000000"/>
          <w:sz w:val="24"/>
          <w:szCs w:val="24"/>
          <w:vertAlign w:val="superscript"/>
          <w:lang w:eastAsia="zh-TW"/>
        </w:rPr>
        <w:footnoteReference w:id="11"/>
      </w:r>
      <w:r>
        <w:rPr>
          <w:rFonts w:asciiTheme="minorBidi" w:eastAsia="PMingLiU" w:hAnsiTheme="minorBidi"/>
          <w:color w:val="000000"/>
          <w:sz w:val="24"/>
          <w:szCs w:val="24"/>
          <w:lang w:eastAsia="zh-TW"/>
        </w:rPr>
        <w:t xml:space="preserve">  Whilst these cases are the exception, the enormity of the potential violations triggers further UK obligations under the ECHR, which it is submitt</w:t>
      </w:r>
      <w:r w:rsidR="00C94923">
        <w:rPr>
          <w:rFonts w:asciiTheme="minorBidi" w:eastAsia="PMingLiU" w:hAnsiTheme="minorBidi"/>
          <w:color w:val="000000"/>
          <w:sz w:val="24"/>
          <w:szCs w:val="24"/>
          <w:lang w:eastAsia="zh-TW"/>
        </w:rPr>
        <w:t>ed</w:t>
      </w:r>
      <w:r>
        <w:rPr>
          <w:rFonts w:asciiTheme="minorBidi" w:eastAsia="PMingLiU" w:hAnsiTheme="minorBidi"/>
          <w:color w:val="000000"/>
          <w:sz w:val="24"/>
          <w:szCs w:val="24"/>
          <w:lang w:eastAsia="zh-TW"/>
        </w:rPr>
        <w:t xml:space="preserve"> should extend to the availability of judicial recourse for potential victims, even those that do not meet the lawful residency requirement.</w:t>
      </w:r>
    </w:p>
    <w:p w:rsidR="00F11BA2" w:rsidRPr="001D7A82" w:rsidRDefault="00F11BA2" w:rsidP="00F93CF1">
      <w:pPr>
        <w:jc w:val="both"/>
        <w:rPr>
          <w:rFonts w:asciiTheme="minorBidi" w:eastAsia="Calibri" w:hAnsiTheme="minorBidi"/>
          <w:sz w:val="24"/>
          <w:szCs w:val="24"/>
          <w:lang w:eastAsia="en-US" w:bidi="ar-SA"/>
        </w:rPr>
      </w:pPr>
      <w:r>
        <w:rPr>
          <w:rFonts w:asciiTheme="minorBidi" w:eastAsia="Calibri" w:hAnsiTheme="minorBidi"/>
          <w:sz w:val="24"/>
          <w:szCs w:val="24"/>
          <w:lang w:eastAsia="en-US" w:bidi="ar-SA"/>
        </w:rPr>
        <w:t>It should be stressed that t</w:t>
      </w:r>
      <w:r w:rsidRPr="001D7A82">
        <w:rPr>
          <w:rFonts w:asciiTheme="minorBidi" w:eastAsia="Calibri" w:hAnsiTheme="minorBidi"/>
          <w:sz w:val="24"/>
          <w:szCs w:val="24"/>
          <w:lang w:eastAsia="en-US" w:bidi="ar-SA"/>
        </w:rPr>
        <w:t>his case law has developed a nuanced approach w</w:t>
      </w:r>
      <w:r>
        <w:rPr>
          <w:rFonts w:asciiTheme="minorBidi" w:eastAsia="Calibri" w:hAnsiTheme="minorBidi"/>
          <w:sz w:val="24"/>
          <w:szCs w:val="24"/>
          <w:lang w:eastAsia="en-US" w:bidi="ar-SA"/>
        </w:rPr>
        <w:t>hich deals with each “foreign ca</w:t>
      </w:r>
      <w:r w:rsidRPr="001D7A82">
        <w:rPr>
          <w:rFonts w:asciiTheme="minorBidi" w:eastAsia="Calibri" w:hAnsiTheme="minorBidi"/>
          <w:sz w:val="24"/>
          <w:szCs w:val="24"/>
          <w:lang w:eastAsia="en-US" w:bidi="ar-SA"/>
        </w:rPr>
        <w:t xml:space="preserve">se” as exceptional and on its merits. As such not every case is automatically successful. The social and economic implications for the UK </w:t>
      </w:r>
      <w:r w:rsidRPr="001D7A82">
        <w:rPr>
          <w:rFonts w:asciiTheme="minorBidi" w:eastAsia="Calibri" w:hAnsiTheme="minorBidi"/>
          <w:sz w:val="24"/>
          <w:szCs w:val="24"/>
          <w:lang w:eastAsia="en-US" w:bidi="ar-SA"/>
        </w:rPr>
        <w:lastRenderedPageBreak/>
        <w:t xml:space="preserve">are not forgotten. A clear balancing act is evident throughout the reasoning developed by the House of Lords and now UK Supreme Court. The requirement for someone to have “strong connections” with the UK in order to qualify for legal aid would preclude the application of this nuanced approach which requires that upon removal from the UK there is </w:t>
      </w:r>
      <w:r w:rsidR="00945813">
        <w:rPr>
          <w:rFonts w:asciiTheme="minorBidi" w:eastAsia="Calibri" w:hAnsiTheme="minorBidi"/>
          <w:sz w:val="24"/>
          <w:szCs w:val="24"/>
          <w:lang w:eastAsia="en-US" w:bidi="ar-SA"/>
        </w:rPr>
        <w:t>”</w:t>
      </w:r>
      <w:r w:rsidRPr="001D7A82">
        <w:rPr>
          <w:rFonts w:asciiTheme="minorBidi" w:eastAsia="Calibri" w:hAnsiTheme="minorBidi"/>
          <w:sz w:val="24"/>
          <w:szCs w:val="24"/>
          <w:lang w:eastAsia="en-US" w:bidi="ar-SA"/>
        </w:rPr>
        <w:t xml:space="preserve">a </w:t>
      </w:r>
      <w:r w:rsidRPr="001D7A82">
        <w:rPr>
          <w:rFonts w:asciiTheme="minorBidi" w:eastAsia="Calibri" w:hAnsiTheme="minorBidi"/>
          <w:i/>
          <w:sz w:val="24"/>
          <w:szCs w:val="24"/>
          <w:lang w:eastAsia="en-US" w:bidi="ar-SA"/>
        </w:rPr>
        <w:t>real risk</w:t>
      </w:r>
      <w:r w:rsidRPr="001D7A82">
        <w:rPr>
          <w:rFonts w:asciiTheme="minorBidi" w:eastAsia="Calibri" w:hAnsiTheme="minorBidi"/>
          <w:sz w:val="24"/>
          <w:szCs w:val="24"/>
          <w:lang w:eastAsia="en-US" w:bidi="ar-SA"/>
        </w:rPr>
        <w:t xml:space="preserve"> of a </w:t>
      </w:r>
      <w:r w:rsidRPr="001D7A82">
        <w:rPr>
          <w:rFonts w:asciiTheme="minorBidi" w:eastAsia="Calibri" w:hAnsiTheme="minorBidi"/>
          <w:i/>
          <w:sz w:val="24"/>
          <w:szCs w:val="24"/>
          <w:lang w:eastAsia="en-US" w:bidi="ar-SA"/>
        </w:rPr>
        <w:t>flagrant</w:t>
      </w:r>
      <w:r w:rsidRPr="001D7A82">
        <w:rPr>
          <w:rFonts w:asciiTheme="minorBidi" w:eastAsia="Calibri" w:hAnsiTheme="minorBidi"/>
          <w:sz w:val="24"/>
          <w:szCs w:val="24"/>
          <w:lang w:eastAsia="en-US" w:bidi="ar-SA"/>
        </w:rPr>
        <w:t xml:space="preserve"> violation of the </w:t>
      </w:r>
      <w:r w:rsidRPr="001D7A82">
        <w:rPr>
          <w:rFonts w:asciiTheme="minorBidi" w:eastAsia="Calibri" w:hAnsiTheme="minorBidi"/>
          <w:i/>
          <w:sz w:val="24"/>
          <w:szCs w:val="24"/>
          <w:lang w:eastAsia="en-US" w:bidi="ar-SA"/>
        </w:rPr>
        <w:t>very</w:t>
      </w:r>
      <w:r w:rsidRPr="001D7A82">
        <w:rPr>
          <w:rFonts w:asciiTheme="minorBidi" w:eastAsia="Calibri" w:hAnsiTheme="minorBidi"/>
          <w:sz w:val="24"/>
          <w:szCs w:val="24"/>
          <w:lang w:eastAsia="en-US" w:bidi="ar-SA"/>
        </w:rPr>
        <w:t xml:space="preserve"> </w:t>
      </w:r>
      <w:r w:rsidRPr="001D7A82">
        <w:rPr>
          <w:rFonts w:asciiTheme="minorBidi" w:eastAsia="Calibri" w:hAnsiTheme="minorBidi"/>
          <w:i/>
          <w:sz w:val="24"/>
          <w:szCs w:val="24"/>
          <w:lang w:eastAsia="en-US" w:bidi="ar-SA"/>
        </w:rPr>
        <w:t>essence</w:t>
      </w:r>
      <w:r w:rsidRPr="001D7A82">
        <w:rPr>
          <w:rFonts w:asciiTheme="minorBidi" w:eastAsia="Calibri" w:hAnsiTheme="minorBidi"/>
          <w:sz w:val="24"/>
          <w:szCs w:val="24"/>
          <w:lang w:eastAsia="en-US" w:bidi="ar-SA"/>
        </w:rPr>
        <w:t xml:space="preserve"> of the right</w:t>
      </w:r>
      <w:r w:rsidR="00945813">
        <w:rPr>
          <w:rFonts w:asciiTheme="minorBidi" w:eastAsia="Calibri" w:hAnsiTheme="minorBidi"/>
          <w:sz w:val="24"/>
          <w:szCs w:val="24"/>
          <w:lang w:eastAsia="en-US" w:bidi="ar-SA"/>
        </w:rPr>
        <w:t>”</w:t>
      </w:r>
      <w:r w:rsidRPr="00B82898">
        <w:rPr>
          <w:rFonts w:asciiTheme="minorBidi" w:eastAsia="Calibri" w:hAnsiTheme="minorBidi"/>
          <w:sz w:val="24"/>
          <w:szCs w:val="24"/>
          <w:vertAlign w:val="superscript"/>
          <w:lang w:eastAsia="en-US" w:bidi="ar-SA"/>
        </w:rPr>
        <w:footnoteReference w:id="12"/>
      </w:r>
      <w:r>
        <w:rPr>
          <w:rFonts w:asciiTheme="minorBidi" w:eastAsia="Calibri" w:hAnsiTheme="minorBidi"/>
          <w:sz w:val="24"/>
          <w:szCs w:val="24"/>
          <w:lang w:eastAsia="en-US" w:bidi="ar-SA"/>
        </w:rPr>
        <w:t xml:space="preserve"> if they were to be removed</w:t>
      </w:r>
      <w:r w:rsidRPr="001D7A82">
        <w:rPr>
          <w:rFonts w:asciiTheme="minorBidi" w:eastAsia="Calibri" w:hAnsiTheme="minorBidi"/>
          <w:sz w:val="24"/>
          <w:szCs w:val="24"/>
          <w:lang w:eastAsia="en-US" w:bidi="ar-SA"/>
        </w:rPr>
        <w:t xml:space="preserve">. Instead, applicants such as that in </w:t>
      </w:r>
      <w:r w:rsidRPr="001D7A82">
        <w:rPr>
          <w:rFonts w:asciiTheme="minorBidi" w:eastAsia="Calibri" w:hAnsiTheme="minorBidi"/>
          <w:i/>
          <w:sz w:val="24"/>
          <w:szCs w:val="24"/>
          <w:lang w:eastAsia="en-US" w:bidi="ar-SA"/>
        </w:rPr>
        <w:t>EM Lebanon</w:t>
      </w:r>
      <w:r w:rsidRPr="001D7A82">
        <w:rPr>
          <w:rFonts w:asciiTheme="minorBidi" w:eastAsia="Calibri" w:hAnsiTheme="minorBidi"/>
          <w:sz w:val="24"/>
          <w:szCs w:val="24"/>
          <w:lang w:eastAsia="en-US" w:bidi="ar-SA"/>
        </w:rPr>
        <w:t>, (Article 8 right to private and family life</w:t>
      </w:r>
      <w:r w:rsidRPr="00B82898">
        <w:rPr>
          <w:rFonts w:asciiTheme="minorBidi" w:eastAsia="Calibri" w:hAnsiTheme="minorBidi"/>
          <w:sz w:val="24"/>
          <w:szCs w:val="24"/>
          <w:vertAlign w:val="superscript"/>
          <w:lang w:eastAsia="en-US" w:bidi="ar-SA"/>
        </w:rPr>
        <w:footnoteReference w:id="13"/>
      </w:r>
      <w:r w:rsidRPr="001D7A82">
        <w:rPr>
          <w:rFonts w:asciiTheme="minorBidi" w:eastAsia="Calibri" w:hAnsiTheme="minorBidi"/>
          <w:sz w:val="24"/>
          <w:szCs w:val="24"/>
          <w:lang w:eastAsia="en-US" w:bidi="ar-SA"/>
        </w:rPr>
        <w:t>)</w:t>
      </w:r>
      <w:r w:rsidR="00F93CF1">
        <w:rPr>
          <w:rFonts w:asciiTheme="minorBidi" w:eastAsia="Calibri" w:hAnsiTheme="minorBidi"/>
          <w:sz w:val="24"/>
          <w:szCs w:val="24"/>
          <w:lang w:eastAsia="en-US" w:bidi="ar-SA"/>
        </w:rPr>
        <w:t>,</w:t>
      </w:r>
      <w:r w:rsidRPr="001D7A82">
        <w:rPr>
          <w:rFonts w:asciiTheme="minorBidi" w:eastAsia="Calibri" w:hAnsiTheme="minorBidi"/>
          <w:sz w:val="24"/>
          <w:szCs w:val="24"/>
          <w:lang w:eastAsia="en-US" w:bidi="ar-SA"/>
        </w:rPr>
        <w:t xml:space="preserve"> a Lebanese woman who fled to the UK to escape an abusive ex-husband and the certainty of her child being taken from her under </w:t>
      </w:r>
      <w:proofErr w:type="spellStart"/>
      <w:r w:rsidRPr="001D7A82">
        <w:rPr>
          <w:rFonts w:asciiTheme="minorBidi" w:eastAsia="Calibri" w:hAnsiTheme="minorBidi"/>
          <w:i/>
          <w:sz w:val="24"/>
          <w:szCs w:val="24"/>
          <w:lang w:eastAsia="en-US" w:bidi="ar-SA"/>
        </w:rPr>
        <w:t>Shari’a</w:t>
      </w:r>
      <w:proofErr w:type="spellEnd"/>
      <w:r w:rsidRPr="001D7A82">
        <w:rPr>
          <w:rFonts w:asciiTheme="minorBidi" w:eastAsia="Calibri" w:hAnsiTheme="minorBidi"/>
          <w:sz w:val="24"/>
          <w:szCs w:val="24"/>
          <w:lang w:eastAsia="en-US" w:bidi="ar-SA"/>
        </w:rPr>
        <w:t xml:space="preserve"> law, would be denied legal aid, denied a day in court and excluded from the remit of the ECHR. </w:t>
      </w:r>
      <w:r w:rsidR="00F93CF1">
        <w:rPr>
          <w:rFonts w:asciiTheme="minorBidi" w:eastAsia="Calibri" w:hAnsiTheme="minorBidi"/>
          <w:sz w:val="24"/>
          <w:szCs w:val="24"/>
          <w:lang w:eastAsia="en-US" w:bidi="ar-SA"/>
        </w:rPr>
        <w:t>The same would apply for</w:t>
      </w:r>
      <w:r w:rsidRPr="001D7A82">
        <w:rPr>
          <w:rFonts w:asciiTheme="minorBidi" w:eastAsia="Calibri" w:hAnsiTheme="minorBidi"/>
          <w:sz w:val="24"/>
          <w:szCs w:val="24"/>
          <w:lang w:eastAsia="en-US" w:bidi="ar-SA"/>
        </w:rPr>
        <w:t xml:space="preserve"> applicants in Article 3 freedom from torture cases (</w:t>
      </w:r>
      <w:proofErr w:type="spellStart"/>
      <w:r w:rsidRPr="001D7A82">
        <w:rPr>
          <w:rFonts w:asciiTheme="minorBidi" w:eastAsia="Calibri" w:hAnsiTheme="minorBidi"/>
          <w:i/>
          <w:iCs/>
          <w:sz w:val="24"/>
          <w:szCs w:val="24"/>
          <w:lang w:eastAsia="en-US" w:bidi="ar-SA"/>
        </w:rPr>
        <w:t>Soering</w:t>
      </w:r>
      <w:proofErr w:type="spellEnd"/>
      <w:r w:rsidRPr="001D7A82">
        <w:rPr>
          <w:rFonts w:asciiTheme="minorBidi" w:eastAsia="Calibri" w:hAnsiTheme="minorBidi"/>
          <w:i/>
          <w:iCs/>
          <w:sz w:val="24"/>
          <w:szCs w:val="24"/>
          <w:lang w:eastAsia="en-US" w:bidi="ar-SA"/>
        </w:rPr>
        <w:t xml:space="preserve"> v United Kingdom</w:t>
      </w:r>
      <w:r w:rsidRPr="00B82898">
        <w:rPr>
          <w:rFonts w:asciiTheme="minorBidi" w:eastAsia="Calibri" w:hAnsiTheme="minorBidi"/>
          <w:i/>
          <w:iCs/>
          <w:sz w:val="24"/>
          <w:szCs w:val="24"/>
          <w:vertAlign w:val="superscript"/>
          <w:lang w:eastAsia="en-US" w:bidi="ar-SA"/>
        </w:rPr>
        <w:footnoteReference w:id="14"/>
      </w:r>
      <w:r w:rsidRPr="001D7A82">
        <w:rPr>
          <w:rFonts w:asciiTheme="minorBidi" w:eastAsia="Calibri" w:hAnsiTheme="minorBidi"/>
          <w:i/>
          <w:iCs/>
          <w:sz w:val="24"/>
          <w:szCs w:val="24"/>
          <w:lang w:eastAsia="en-US" w:bidi="ar-SA"/>
        </w:rPr>
        <w:t>)</w:t>
      </w:r>
      <w:r w:rsidR="00F93CF1">
        <w:rPr>
          <w:rFonts w:asciiTheme="minorBidi" w:eastAsia="Calibri" w:hAnsiTheme="minorBidi"/>
          <w:i/>
          <w:iCs/>
          <w:sz w:val="24"/>
          <w:szCs w:val="24"/>
          <w:lang w:eastAsia="en-US" w:bidi="ar-SA"/>
        </w:rPr>
        <w:t>.</w:t>
      </w:r>
    </w:p>
    <w:p w:rsidR="00F11BA2" w:rsidRPr="001D7A82" w:rsidRDefault="00F11BA2" w:rsidP="004F1FCE">
      <w:pPr>
        <w:jc w:val="both"/>
        <w:rPr>
          <w:rFonts w:asciiTheme="minorBidi" w:hAnsiTheme="minorBidi"/>
          <w:sz w:val="24"/>
          <w:szCs w:val="24"/>
          <w:lang w:val="en-US" w:bidi="ar-SA"/>
        </w:rPr>
      </w:pPr>
      <w:r w:rsidRPr="001D7A82">
        <w:rPr>
          <w:rFonts w:asciiTheme="minorBidi" w:hAnsiTheme="minorBidi"/>
          <w:sz w:val="24"/>
          <w:szCs w:val="24"/>
          <w:lang w:val="en-US" w:bidi="ar-SA"/>
        </w:rPr>
        <w:t xml:space="preserve">In the </w:t>
      </w:r>
      <w:r w:rsidR="004F1FCE">
        <w:rPr>
          <w:rFonts w:asciiTheme="minorBidi" w:hAnsiTheme="minorBidi"/>
          <w:sz w:val="24"/>
          <w:szCs w:val="24"/>
          <w:lang w:val="en-US" w:bidi="ar-SA"/>
        </w:rPr>
        <w:t xml:space="preserve">European Court of Human Rights </w:t>
      </w:r>
      <w:r w:rsidRPr="001D7A82">
        <w:rPr>
          <w:rFonts w:asciiTheme="minorBidi" w:hAnsiTheme="minorBidi"/>
          <w:sz w:val="24"/>
          <w:szCs w:val="24"/>
          <w:lang w:val="en-US" w:bidi="ar-SA"/>
        </w:rPr>
        <w:t xml:space="preserve">case </w:t>
      </w:r>
      <w:r w:rsidR="004F1FCE">
        <w:rPr>
          <w:rFonts w:asciiTheme="minorBidi" w:hAnsiTheme="minorBidi"/>
          <w:sz w:val="24"/>
          <w:szCs w:val="24"/>
          <w:lang w:val="en-US" w:bidi="ar-SA"/>
        </w:rPr>
        <w:t xml:space="preserve">of </w:t>
      </w:r>
      <w:proofErr w:type="spellStart"/>
      <w:r w:rsidRPr="001D7A82">
        <w:rPr>
          <w:rFonts w:asciiTheme="minorBidi" w:hAnsiTheme="minorBidi"/>
          <w:i/>
          <w:sz w:val="24"/>
          <w:szCs w:val="24"/>
          <w:lang w:val="en-US" w:bidi="ar-SA"/>
        </w:rPr>
        <w:t>Mamatkarov</w:t>
      </w:r>
      <w:proofErr w:type="spellEnd"/>
      <w:r w:rsidRPr="001D7A82">
        <w:rPr>
          <w:rFonts w:asciiTheme="minorBidi" w:hAnsiTheme="minorBidi"/>
          <w:i/>
          <w:sz w:val="24"/>
          <w:szCs w:val="24"/>
          <w:lang w:val="en-US" w:bidi="ar-SA"/>
        </w:rPr>
        <w:t xml:space="preserve"> and </w:t>
      </w:r>
      <w:proofErr w:type="spellStart"/>
      <w:r w:rsidRPr="001D7A82">
        <w:rPr>
          <w:rFonts w:asciiTheme="minorBidi" w:hAnsiTheme="minorBidi"/>
          <w:i/>
          <w:sz w:val="24"/>
          <w:szCs w:val="24"/>
          <w:lang w:val="en-US" w:bidi="ar-SA"/>
        </w:rPr>
        <w:t>Askarov</w:t>
      </w:r>
      <w:proofErr w:type="spellEnd"/>
      <w:r w:rsidRPr="001D7A82">
        <w:rPr>
          <w:rFonts w:asciiTheme="minorBidi" w:hAnsiTheme="minorBidi"/>
          <w:i/>
          <w:sz w:val="24"/>
          <w:szCs w:val="24"/>
          <w:lang w:val="en-US" w:bidi="ar-SA"/>
        </w:rPr>
        <w:t xml:space="preserve"> v Turkey</w:t>
      </w:r>
      <w:r w:rsidRPr="001D7A82">
        <w:rPr>
          <w:rFonts w:asciiTheme="minorBidi" w:hAnsiTheme="minorBidi"/>
          <w:sz w:val="24"/>
          <w:szCs w:val="24"/>
          <w:lang w:val="en-US" w:bidi="ar-SA"/>
        </w:rPr>
        <w:t xml:space="preserve"> the joint partly dissenting opinion of Judges </w:t>
      </w:r>
      <w:proofErr w:type="spellStart"/>
      <w:r w:rsidRPr="001D7A82">
        <w:rPr>
          <w:rFonts w:asciiTheme="minorBidi" w:hAnsiTheme="minorBidi"/>
          <w:sz w:val="24"/>
          <w:szCs w:val="24"/>
          <w:lang w:val="en-US" w:bidi="ar-SA"/>
        </w:rPr>
        <w:t>Bratza</w:t>
      </w:r>
      <w:proofErr w:type="spellEnd"/>
      <w:r w:rsidRPr="001D7A82">
        <w:rPr>
          <w:rFonts w:asciiTheme="minorBidi" w:hAnsiTheme="minorBidi"/>
          <w:sz w:val="24"/>
          <w:szCs w:val="24"/>
          <w:lang w:val="en-US" w:bidi="ar-SA"/>
        </w:rPr>
        <w:t xml:space="preserve">, </w:t>
      </w:r>
      <w:proofErr w:type="spellStart"/>
      <w:r w:rsidRPr="001D7A82">
        <w:rPr>
          <w:rFonts w:asciiTheme="minorBidi" w:hAnsiTheme="minorBidi"/>
          <w:sz w:val="24"/>
          <w:szCs w:val="24"/>
          <w:lang w:val="en-US" w:bidi="ar-SA"/>
        </w:rPr>
        <w:t>Bonello</w:t>
      </w:r>
      <w:proofErr w:type="spellEnd"/>
      <w:r w:rsidRPr="001D7A82">
        <w:rPr>
          <w:rFonts w:asciiTheme="minorBidi" w:hAnsiTheme="minorBidi"/>
          <w:sz w:val="24"/>
          <w:szCs w:val="24"/>
          <w:lang w:val="en-US" w:bidi="ar-SA"/>
        </w:rPr>
        <w:t xml:space="preserve"> and </w:t>
      </w:r>
      <w:proofErr w:type="spellStart"/>
      <w:r w:rsidRPr="001D7A82">
        <w:rPr>
          <w:rFonts w:asciiTheme="minorBidi" w:hAnsiTheme="minorBidi"/>
          <w:sz w:val="24"/>
          <w:szCs w:val="24"/>
          <w:lang w:val="en-US" w:bidi="ar-SA"/>
        </w:rPr>
        <w:t>Hedigan</w:t>
      </w:r>
      <w:proofErr w:type="spellEnd"/>
      <w:r w:rsidRPr="001D7A82">
        <w:rPr>
          <w:rFonts w:asciiTheme="minorBidi" w:hAnsiTheme="minorBidi"/>
          <w:sz w:val="24"/>
          <w:szCs w:val="24"/>
          <w:lang w:val="en-US" w:bidi="ar-SA"/>
        </w:rPr>
        <w:t xml:space="preserve"> makes clear what ‘flagrant’ in the context of the ECHR </w:t>
      </w:r>
      <w:r>
        <w:rPr>
          <w:rFonts w:asciiTheme="minorBidi" w:hAnsiTheme="minorBidi"/>
          <w:sz w:val="24"/>
          <w:szCs w:val="24"/>
          <w:lang w:val="en-US" w:bidi="ar-SA"/>
        </w:rPr>
        <w:t xml:space="preserve">(ironically the provision under consideration in that case was Article 6, the right to a fair trial) </w:t>
      </w:r>
      <w:r w:rsidRPr="001D7A82">
        <w:rPr>
          <w:rFonts w:asciiTheme="minorBidi" w:hAnsiTheme="minorBidi"/>
          <w:sz w:val="24"/>
          <w:szCs w:val="24"/>
          <w:lang w:val="en-US" w:bidi="ar-SA"/>
        </w:rPr>
        <w:t>means:</w:t>
      </w:r>
    </w:p>
    <w:p w:rsidR="00F11BA2" w:rsidRPr="001D7A82" w:rsidRDefault="00F11BA2" w:rsidP="00F11BA2">
      <w:pPr>
        <w:ind w:left="709" w:right="662"/>
        <w:jc w:val="both"/>
        <w:rPr>
          <w:rFonts w:asciiTheme="minorBidi" w:hAnsiTheme="minorBidi"/>
          <w:sz w:val="24"/>
          <w:szCs w:val="24"/>
          <w:lang w:val="en-US" w:bidi="ar-SA"/>
        </w:rPr>
      </w:pPr>
      <w:r w:rsidRPr="001D7A82">
        <w:rPr>
          <w:rFonts w:asciiTheme="minorBidi" w:hAnsiTheme="minorBidi"/>
          <w:sz w:val="24"/>
          <w:szCs w:val="24"/>
          <w:lang w:val="en-US" w:bidi="ar-SA"/>
        </w:rPr>
        <w:t>"In our view, what the word ‘flagrant’ is intended to convey is a breach of the principles of fair trial guaranteed by Article 6 which is so fundamental as to amount to a nullification, or destruction of the very essence, of the right guaranteed by that article"</w:t>
      </w:r>
      <w:r w:rsidR="004F1FCE">
        <w:rPr>
          <w:rFonts w:asciiTheme="minorBidi" w:hAnsiTheme="minorBidi"/>
          <w:sz w:val="24"/>
          <w:szCs w:val="24"/>
          <w:lang w:val="en-US" w:bidi="ar-SA"/>
        </w:rPr>
        <w:t>.</w:t>
      </w:r>
      <w:r w:rsidRPr="00B82898">
        <w:rPr>
          <w:rFonts w:asciiTheme="minorBidi" w:hAnsiTheme="minorBidi"/>
          <w:sz w:val="24"/>
          <w:szCs w:val="24"/>
          <w:vertAlign w:val="superscript"/>
          <w:lang w:val="en-US" w:bidi="ar-SA"/>
        </w:rPr>
        <w:footnoteReference w:id="15"/>
      </w:r>
    </w:p>
    <w:p w:rsidR="00F11BA2" w:rsidRDefault="00F11BA2" w:rsidP="00F93CF1">
      <w:pPr>
        <w:jc w:val="both"/>
        <w:rPr>
          <w:rFonts w:asciiTheme="minorBidi" w:hAnsiTheme="minorBidi"/>
          <w:sz w:val="24"/>
          <w:szCs w:val="24"/>
          <w:lang w:val="en-US" w:bidi="ar-SA"/>
        </w:rPr>
      </w:pPr>
      <w:r w:rsidRPr="001D7A82">
        <w:rPr>
          <w:rFonts w:asciiTheme="minorBidi" w:hAnsiTheme="minorBidi"/>
          <w:sz w:val="24"/>
          <w:szCs w:val="24"/>
          <w:lang w:val="en-US" w:bidi="ar-SA"/>
        </w:rPr>
        <w:t xml:space="preserve">The tests developed by the UK courts have taken this notion of flagrant and considered whether upon removal from the UK, certain ECHR rights of foreign nationals would be flagrantly violated, denied and nullified. </w:t>
      </w:r>
      <w:r w:rsidR="00F93CF1">
        <w:rPr>
          <w:rFonts w:asciiTheme="minorBidi" w:hAnsiTheme="minorBidi"/>
          <w:sz w:val="24"/>
          <w:szCs w:val="24"/>
          <w:lang w:val="en-US" w:bidi="ar-SA"/>
        </w:rPr>
        <w:t>We</w:t>
      </w:r>
      <w:r>
        <w:rPr>
          <w:rFonts w:asciiTheme="minorBidi" w:hAnsiTheme="minorBidi"/>
          <w:sz w:val="24"/>
          <w:szCs w:val="24"/>
          <w:lang w:val="en-US" w:bidi="ar-SA"/>
        </w:rPr>
        <w:t xml:space="preserve"> would further argue that </w:t>
      </w:r>
      <w:r w:rsidRPr="00F93CF1">
        <w:rPr>
          <w:rFonts w:asciiTheme="minorBidi" w:hAnsiTheme="minorBidi"/>
          <w:sz w:val="24"/>
          <w:szCs w:val="24"/>
          <w:lang w:val="en-US" w:bidi="ar-SA"/>
        </w:rPr>
        <w:t>what the proposed residence test does is to explicitly destroy and nullify the very essence of the right to fair trial it</w:t>
      </w:r>
      <w:r>
        <w:rPr>
          <w:rFonts w:asciiTheme="minorBidi" w:hAnsiTheme="minorBidi"/>
          <w:sz w:val="24"/>
          <w:szCs w:val="24"/>
          <w:lang w:val="en-US" w:bidi="ar-SA"/>
        </w:rPr>
        <w:t>self</w:t>
      </w:r>
      <w:r w:rsidRPr="001D7A82">
        <w:rPr>
          <w:rFonts w:asciiTheme="minorBidi" w:hAnsiTheme="minorBidi"/>
          <w:sz w:val="24"/>
          <w:szCs w:val="24"/>
          <w:lang w:val="en-US" w:bidi="ar-SA"/>
        </w:rPr>
        <w:t>.</w:t>
      </w:r>
    </w:p>
    <w:p w:rsidR="00F93CF1" w:rsidRPr="004F1FCE" w:rsidRDefault="00F93CF1" w:rsidP="004F1FCE">
      <w:pPr>
        <w:jc w:val="both"/>
        <w:rPr>
          <w:rFonts w:asciiTheme="minorBidi" w:hAnsiTheme="minorBidi"/>
          <w:sz w:val="24"/>
          <w:szCs w:val="24"/>
          <w:lang w:val="en-US" w:bidi="ar-SA"/>
        </w:rPr>
      </w:pPr>
      <w:r w:rsidRPr="004F1FCE">
        <w:rPr>
          <w:rFonts w:asciiTheme="minorBidi" w:hAnsiTheme="minorBidi"/>
          <w:sz w:val="24"/>
          <w:szCs w:val="24"/>
        </w:rPr>
        <w:t xml:space="preserve">The proposal for a residence test entrenches national preferences in the formal machinery of the British justice system and unashamedly excludes certain groups from its remit.  Whilst this is clearly problematic as a matter of EU and European human rights law, it is clear that it does also has significant implications for those most vulnerable in society including </w:t>
      </w:r>
      <w:r w:rsidRPr="004F1FCE">
        <w:rPr>
          <w:rFonts w:asciiTheme="minorBidi" w:hAnsiTheme="minorBidi"/>
          <w:bCs/>
          <w:sz w:val="24"/>
          <w:szCs w:val="24"/>
        </w:rPr>
        <w:t>the homeless</w:t>
      </w:r>
      <w:r w:rsidRPr="004F1FCE">
        <w:rPr>
          <w:rStyle w:val="FootnoteReference"/>
          <w:rFonts w:asciiTheme="minorBidi" w:hAnsiTheme="minorBidi" w:cstheme="minorBidi"/>
          <w:bCs/>
          <w:sz w:val="24"/>
          <w:szCs w:val="24"/>
        </w:rPr>
        <w:footnoteReference w:id="16"/>
      </w:r>
      <w:r w:rsidRPr="004F1FCE">
        <w:rPr>
          <w:rFonts w:asciiTheme="minorBidi" w:hAnsiTheme="minorBidi"/>
          <w:bCs/>
          <w:sz w:val="24"/>
          <w:szCs w:val="24"/>
        </w:rPr>
        <w:t>, travellers and children.</w:t>
      </w:r>
      <w:r w:rsidRPr="004F1FCE">
        <w:rPr>
          <w:rStyle w:val="FootnoteReference"/>
          <w:rFonts w:asciiTheme="minorBidi" w:hAnsiTheme="minorBidi" w:cstheme="minorBidi"/>
          <w:bCs/>
          <w:sz w:val="24"/>
          <w:szCs w:val="24"/>
        </w:rPr>
        <w:footnoteReference w:id="17"/>
      </w:r>
      <w:r w:rsidRPr="004F1FCE">
        <w:rPr>
          <w:rFonts w:asciiTheme="minorBidi" w:hAnsiTheme="minorBidi"/>
          <w:sz w:val="24"/>
          <w:szCs w:val="24"/>
        </w:rPr>
        <w:t xml:space="preserve"> </w:t>
      </w:r>
    </w:p>
    <w:p w:rsidR="00FB26A2" w:rsidRDefault="00FB26A2">
      <w:pPr>
        <w:rPr>
          <w:rFonts w:asciiTheme="minorBidi" w:eastAsiaTheme="minorHAnsi" w:hAnsiTheme="minorBidi"/>
          <w:bCs/>
          <w:i/>
          <w:iCs/>
          <w:sz w:val="24"/>
          <w:szCs w:val="24"/>
          <w:lang w:eastAsia="en-US" w:bidi="ar-SA"/>
        </w:rPr>
      </w:pPr>
      <w:r>
        <w:rPr>
          <w:rFonts w:asciiTheme="minorBidi" w:eastAsiaTheme="minorHAnsi" w:hAnsiTheme="minorBidi"/>
          <w:bCs/>
          <w:i/>
          <w:iCs/>
          <w:sz w:val="24"/>
          <w:szCs w:val="24"/>
          <w:lang w:eastAsia="en-US" w:bidi="ar-SA"/>
        </w:rPr>
        <w:br w:type="page"/>
      </w:r>
    </w:p>
    <w:p w:rsidR="000B41AC" w:rsidRPr="00B82898" w:rsidRDefault="007B59B7" w:rsidP="00B82898">
      <w:pPr>
        <w:autoSpaceDE w:val="0"/>
        <w:autoSpaceDN w:val="0"/>
        <w:adjustRightInd w:val="0"/>
        <w:spacing w:after="0" w:line="240" w:lineRule="auto"/>
        <w:jc w:val="both"/>
        <w:rPr>
          <w:rFonts w:asciiTheme="minorBidi" w:eastAsiaTheme="minorHAnsi" w:hAnsiTheme="minorBidi"/>
          <w:bCs/>
          <w:i/>
          <w:iCs/>
          <w:sz w:val="24"/>
          <w:szCs w:val="24"/>
          <w:lang w:eastAsia="en-US" w:bidi="ar-SA"/>
        </w:rPr>
      </w:pPr>
      <w:r w:rsidRPr="00B82898">
        <w:rPr>
          <w:rFonts w:asciiTheme="minorBidi" w:eastAsiaTheme="minorHAnsi" w:hAnsiTheme="minorBidi"/>
          <w:bCs/>
          <w:i/>
          <w:iCs/>
          <w:sz w:val="24"/>
          <w:szCs w:val="24"/>
          <w:lang w:eastAsia="en-US" w:bidi="ar-SA"/>
        </w:rPr>
        <w:t>Implications for Those Most Vulnerable in Society</w:t>
      </w:r>
    </w:p>
    <w:p w:rsidR="007B59B7" w:rsidRPr="00B82898" w:rsidRDefault="007B59B7" w:rsidP="00B82898">
      <w:pPr>
        <w:autoSpaceDE w:val="0"/>
        <w:autoSpaceDN w:val="0"/>
        <w:adjustRightInd w:val="0"/>
        <w:spacing w:after="0" w:line="240" w:lineRule="auto"/>
        <w:jc w:val="both"/>
        <w:rPr>
          <w:rFonts w:asciiTheme="minorBidi" w:eastAsiaTheme="minorHAnsi" w:hAnsiTheme="minorBidi"/>
          <w:bCs/>
          <w:i/>
          <w:iCs/>
          <w:sz w:val="24"/>
          <w:szCs w:val="24"/>
          <w:lang w:eastAsia="en-US" w:bidi="ar-SA"/>
        </w:rPr>
      </w:pPr>
    </w:p>
    <w:p w:rsidR="00777F7E" w:rsidRDefault="00DB0F61" w:rsidP="004F1FCE">
      <w:pPr>
        <w:pStyle w:val="Default"/>
        <w:spacing w:after="200" w:line="276" w:lineRule="auto"/>
        <w:jc w:val="both"/>
        <w:rPr>
          <w:rFonts w:asciiTheme="minorBidi" w:eastAsiaTheme="minorEastAsia" w:hAnsiTheme="minorBidi" w:cstheme="minorBidi"/>
          <w:lang w:val="en-GB" w:eastAsia="zh-CN" w:bidi="he-IL"/>
        </w:rPr>
      </w:pPr>
      <w:r w:rsidRPr="00F11BA2">
        <w:rPr>
          <w:rFonts w:asciiTheme="minorBidi" w:hAnsiTheme="minorBidi"/>
        </w:rPr>
        <w:t>The Ministry of Justice’s</w:t>
      </w:r>
      <w:r w:rsidR="00F93CF1">
        <w:rPr>
          <w:rFonts w:asciiTheme="minorBidi" w:hAnsiTheme="minorBidi"/>
        </w:rPr>
        <w:t xml:space="preserve"> (</w:t>
      </w:r>
      <w:proofErr w:type="spellStart"/>
      <w:r w:rsidR="00F93CF1">
        <w:rPr>
          <w:rFonts w:asciiTheme="minorBidi" w:hAnsiTheme="minorBidi"/>
        </w:rPr>
        <w:t>MoJ</w:t>
      </w:r>
      <w:proofErr w:type="spellEnd"/>
      <w:r w:rsidR="00F93CF1">
        <w:rPr>
          <w:rFonts w:asciiTheme="minorBidi" w:hAnsiTheme="minorBidi"/>
        </w:rPr>
        <w:t>)</w:t>
      </w:r>
      <w:r w:rsidRPr="00F11BA2">
        <w:rPr>
          <w:rFonts w:asciiTheme="minorBidi" w:hAnsiTheme="minorBidi"/>
        </w:rPr>
        <w:t xml:space="preserve"> proposals would appear to limit access to justice for those most vulnerable in society, a matter which is of particular concern for international human rights monitoring bodies.   It should, for example, be noted that facilitating access to justice by providing free legal aid to women without sufficient means has been a particular concern of the Committee on the Elimination of Discrimination Against Women</w:t>
      </w:r>
      <w:r w:rsidRPr="00F11BA2">
        <w:rPr>
          <w:rStyle w:val="FootnoteReference"/>
          <w:rFonts w:asciiTheme="minorBidi" w:hAnsiTheme="minorBidi" w:cstheme="minorBidi"/>
        </w:rPr>
        <w:footnoteReference w:id="18"/>
      </w:r>
      <w:r w:rsidRPr="00F11BA2">
        <w:rPr>
          <w:rFonts w:asciiTheme="minorBidi" w:hAnsiTheme="minorBidi"/>
        </w:rPr>
        <w:t xml:space="preserve"> and that the provision of adequate free legal aid to child victims of offences prohibited under the Optional Protocol to the Convention on the Rights of the Child on the sale of children, child prostitution and child pornography has often been stressed by the UN Committee on the Rights of the Child. </w:t>
      </w:r>
      <w:r w:rsidRPr="00F11BA2">
        <w:rPr>
          <w:rStyle w:val="FootnoteReference"/>
          <w:rFonts w:asciiTheme="minorBidi" w:hAnsiTheme="minorBidi" w:cstheme="minorBidi"/>
        </w:rPr>
        <w:footnoteReference w:id="19"/>
      </w:r>
      <w:r w:rsidRPr="00F11BA2">
        <w:rPr>
          <w:rFonts w:asciiTheme="minorBidi" w:hAnsiTheme="minorBidi"/>
        </w:rPr>
        <w:t xml:space="preserve">  Meanwhile the Council of Europe’s Convention on Action against Trafficking in Human Beings 2005 a</w:t>
      </w:r>
      <w:r w:rsidR="00F11BA2" w:rsidRPr="00F11BA2">
        <w:rPr>
          <w:rFonts w:asciiTheme="minorBidi" w:hAnsiTheme="minorBidi"/>
        </w:rPr>
        <w:t xml:space="preserve">nd EU </w:t>
      </w:r>
      <w:r w:rsidR="00F93CF1">
        <w:rPr>
          <w:rFonts w:asciiTheme="minorBidi" w:hAnsiTheme="minorBidi"/>
          <w:color w:val="141215"/>
        </w:rPr>
        <w:t>Directive</w:t>
      </w:r>
      <w:r w:rsidR="00F93CF1" w:rsidRPr="00F11BA2">
        <w:rPr>
          <w:rFonts w:asciiTheme="minorBidi" w:hAnsiTheme="minorBidi"/>
          <w:color w:val="141215"/>
        </w:rPr>
        <w:t xml:space="preserve"> </w:t>
      </w:r>
      <w:r w:rsidR="00F11BA2" w:rsidRPr="00F11BA2">
        <w:rPr>
          <w:rFonts w:asciiTheme="minorBidi" w:hAnsiTheme="minorBidi"/>
          <w:color w:val="141215"/>
        </w:rPr>
        <w:t>2011/36/EU of 5 April 2011 impose specific obligations on the UK in relation to the provision of free legal aid</w:t>
      </w:r>
      <w:r w:rsidR="00F11BA2" w:rsidRPr="00F11BA2">
        <w:rPr>
          <w:rStyle w:val="FootnoteReference"/>
          <w:rFonts w:asciiTheme="minorBidi" w:hAnsiTheme="minorBidi" w:cstheme="minorBidi"/>
          <w:color w:val="141215"/>
        </w:rPr>
        <w:footnoteReference w:id="20"/>
      </w:r>
      <w:r w:rsidR="00F11BA2" w:rsidRPr="00F11BA2">
        <w:rPr>
          <w:rFonts w:asciiTheme="minorBidi" w:hAnsiTheme="minorBidi"/>
          <w:color w:val="141215"/>
        </w:rPr>
        <w:t xml:space="preserve"> and legal counselling and legal representation for victims of trafficking.</w:t>
      </w:r>
      <w:r w:rsidR="00F11BA2" w:rsidRPr="00F11BA2">
        <w:rPr>
          <w:rStyle w:val="FootnoteReference"/>
          <w:rFonts w:asciiTheme="minorBidi" w:hAnsiTheme="minorBidi" w:cstheme="minorBidi"/>
          <w:color w:val="141215"/>
        </w:rPr>
        <w:footnoteReference w:id="21"/>
      </w:r>
      <w:r w:rsidR="00F11BA2" w:rsidRPr="00F11BA2">
        <w:rPr>
          <w:rFonts w:asciiTheme="minorBidi" w:hAnsiTheme="minorBidi"/>
          <w:color w:val="141215"/>
        </w:rPr>
        <w:t xml:space="preserve">  </w:t>
      </w:r>
    </w:p>
    <w:p w:rsidR="001D7A82" w:rsidRPr="00B82898" w:rsidRDefault="001D7A82" w:rsidP="00DB0F61">
      <w:pPr>
        <w:pStyle w:val="Default"/>
        <w:spacing w:after="200" w:line="276" w:lineRule="auto"/>
        <w:jc w:val="both"/>
        <w:rPr>
          <w:rFonts w:asciiTheme="minorBidi" w:hAnsiTheme="minorBidi" w:cstheme="minorBidi"/>
        </w:rPr>
      </w:pPr>
      <w:r w:rsidRPr="00B82898">
        <w:rPr>
          <w:rFonts w:asciiTheme="minorBidi" w:hAnsiTheme="minorBidi" w:cstheme="minorBidi"/>
          <w:bCs/>
        </w:rPr>
        <w:t xml:space="preserve">A further point we wish to make relates to the specific provisions the residence test makes for asylum seekers and refugees (although it is notable that the consultation document makes no distinction between these two groups). Firstly, while we welcome the </w:t>
      </w:r>
      <w:proofErr w:type="spellStart"/>
      <w:r w:rsidRPr="00B82898">
        <w:rPr>
          <w:rFonts w:asciiTheme="minorBidi" w:hAnsiTheme="minorBidi" w:cstheme="minorBidi"/>
          <w:bCs/>
        </w:rPr>
        <w:t>MoJ’s</w:t>
      </w:r>
      <w:proofErr w:type="spellEnd"/>
      <w:r w:rsidRPr="00B82898">
        <w:rPr>
          <w:rFonts w:asciiTheme="minorBidi" w:hAnsiTheme="minorBidi" w:cstheme="minorBidi"/>
          <w:bCs/>
        </w:rPr>
        <w:t xml:space="preserve"> commitment to abiding by its international obligations in continuing to provide legal aid for asylum seekers going through the initial claim process, t</w:t>
      </w:r>
      <w:r w:rsidRPr="00B82898">
        <w:rPr>
          <w:rFonts w:asciiTheme="minorBidi" w:hAnsiTheme="minorBidi" w:cstheme="minorBidi"/>
        </w:rPr>
        <w:t xml:space="preserve">he residence test proposals include the claim that for asylum seekers going through a civil or family case separate from their refugee determination case, </w:t>
      </w:r>
      <w:r w:rsidR="00DB0F61">
        <w:rPr>
          <w:rFonts w:asciiTheme="minorBidi" w:hAnsiTheme="minorBidi" w:cstheme="minorBidi"/>
        </w:rPr>
        <w:t>“</w:t>
      </w:r>
      <w:r w:rsidRPr="00B82898">
        <w:rPr>
          <w:rFonts w:asciiTheme="minorBidi" w:hAnsiTheme="minorBidi" w:cstheme="minorBidi"/>
        </w:rPr>
        <w:t>if they are successful in their asylum claim legal aid should continue to be available for that civil or family case.</w:t>
      </w:r>
      <w:r w:rsidR="00DB0F61">
        <w:rPr>
          <w:rFonts w:asciiTheme="minorBidi" w:hAnsiTheme="minorBidi" w:cstheme="minorBidi"/>
        </w:rPr>
        <w:t>”</w:t>
      </w:r>
      <w:r w:rsidRPr="00B82898">
        <w:rPr>
          <w:rFonts w:asciiTheme="minorBidi" w:hAnsiTheme="minorBidi" w:cstheme="minorBidi"/>
        </w:rPr>
        <w:t xml:space="preserve"> However, </w:t>
      </w:r>
      <w:r w:rsidR="00DB0F61">
        <w:rPr>
          <w:rFonts w:asciiTheme="minorBidi" w:hAnsiTheme="minorBidi" w:cstheme="minorBidi"/>
        </w:rPr>
        <w:t>“</w:t>
      </w:r>
      <w:r w:rsidRPr="00B82898">
        <w:rPr>
          <w:rFonts w:asciiTheme="minorBidi" w:hAnsiTheme="minorBidi" w:cstheme="minorBidi"/>
        </w:rPr>
        <w:t>for any new claim for which the individual who was [</w:t>
      </w:r>
      <w:r w:rsidRPr="00B82898">
        <w:rPr>
          <w:rFonts w:asciiTheme="minorBidi" w:hAnsiTheme="minorBidi" w:cstheme="minorBidi"/>
          <w:i/>
        </w:rPr>
        <w:t>sic</w:t>
      </w:r>
      <w:r w:rsidRPr="00B82898">
        <w:rPr>
          <w:rFonts w:asciiTheme="minorBidi" w:hAnsiTheme="minorBidi" w:cstheme="minorBidi"/>
        </w:rPr>
        <w:t>] asylum seeker [</w:t>
      </w:r>
      <w:r w:rsidRPr="00B82898">
        <w:rPr>
          <w:rFonts w:asciiTheme="minorBidi" w:hAnsiTheme="minorBidi" w:cstheme="minorBidi"/>
          <w:i/>
        </w:rPr>
        <w:t>sic</w:t>
      </w:r>
      <w:r w:rsidRPr="00B82898">
        <w:rPr>
          <w:rFonts w:asciiTheme="minorBidi" w:hAnsiTheme="minorBidi" w:cstheme="minorBidi"/>
        </w:rPr>
        <w:t>] wished to obtain legal aid, they would need to satisfy the residence test in full like any other applicant.</w:t>
      </w:r>
      <w:r w:rsidR="00DB0F61">
        <w:rPr>
          <w:rFonts w:asciiTheme="minorBidi" w:hAnsiTheme="minorBidi" w:cstheme="minorBidi"/>
        </w:rPr>
        <w:t>”</w:t>
      </w:r>
      <w:r w:rsidRPr="00B82898">
        <w:rPr>
          <w:rFonts w:asciiTheme="minorBidi" w:hAnsiTheme="minorBidi" w:cstheme="minorBidi"/>
        </w:rPr>
        <w:t xml:space="preserve"> </w:t>
      </w:r>
      <w:r w:rsidR="00DD586F">
        <w:rPr>
          <w:rFonts w:asciiTheme="minorBidi" w:hAnsiTheme="minorBidi" w:cstheme="minorBidi"/>
        </w:rPr>
        <w:t>(</w:t>
      </w:r>
      <w:r w:rsidR="00F50EC2">
        <w:rPr>
          <w:rFonts w:asciiTheme="minorBidi" w:hAnsiTheme="minorBidi" w:cstheme="minorBidi"/>
        </w:rPr>
        <w:t xml:space="preserve">para. </w:t>
      </w:r>
      <w:r w:rsidR="00DD586F">
        <w:rPr>
          <w:rFonts w:asciiTheme="minorBidi" w:hAnsiTheme="minorBidi" w:cstheme="minorBidi"/>
        </w:rPr>
        <w:t xml:space="preserve">3.57). </w:t>
      </w:r>
      <w:r w:rsidRPr="00B82898">
        <w:rPr>
          <w:rFonts w:asciiTheme="minorBidi" w:hAnsiTheme="minorBidi" w:cstheme="minorBidi"/>
        </w:rPr>
        <w:t xml:space="preserve">This demonstrates a fundamental lack of understanding on the part of the </w:t>
      </w:r>
      <w:proofErr w:type="spellStart"/>
      <w:r w:rsidRPr="00B82898">
        <w:rPr>
          <w:rFonts w:asciiTheme="minorBidi" w:hAnsiTheme="minorBidi" w:cstheme="minorBidi"/>
        </w:rPr>
        <w:t>MoJ</w:t>
      </w:r>
      <w:proofErr w:type="spellEnd"/>
      <w:r w:rsidRPr="00B82898">
        <w:rPr>
          <w:rFonts w:asciiTheme="minorBidi" w:hAnsiTheme="minorBidi" w:cstheme="minorBidi"/>
        </w:rPr>
        <w:t xml:space="preserve"> by failing to acknowledge that the successful </w:t>
      </w:r>
      <w:r w:rsidR="00DB0F61">
        <w:rPr>
          <w:rFonts w:asciiTheme="minorBidi" w:hAnsiTheme="minorBidi" w:cstheme="minorBidi"/>
        </w:rPr>
        <w:t>“</w:t>
      </w:r>
      <w:r w:rsidRPr="00B82898">
        <w:rPr>
          <w:rFonts w:asciiTheme="minorBidi" w:hAnsiTheme="minorBidi" w:cstheme="minorBidi"/>
        </w:rPr>
        <w:t>asylum seeker</w:t>
      </w:r>
      <w:r w:rsidR="00DB0F61">
        <w:rPr>
          <w:rFonts w:asciiTheme="minorBidi" w:hAnsiTheme="minorBidi" w:cstheme="minorBidi"/>
        </w:rPr>
        <w:t>”</w:t>
      </w:r>
      <w:r w:rsidRPr="00B82898">
        <w:rPr>
          <w:rFonts w:asciiTheme="minorBidi" w:hAnsiTheme="minorBidi" w:cstheme="minorBidi"/>
        </w:rPr>
        <w:t xml:space="preserve"> in the example given is a refugee formally </w:t>
      </w:r>
      <w:proofErr w:type="spellStart"/>
      <w:r w:rsidRPr="00B82898">
        <w:rPr>
          <w:rFonts w:asciiTheme="minorBidi" w:hAnsiTheme="minorBidi" w:cstheme="minorBidi"/>
        </w:rPr>
        <w:t>recognised</w:t>
      </w:r>
      <w:proofErr w:type="spellEnd"/>
      <w:r w:rsidRPr="00B82898">
        <w:rPr>
          <w:rFonts w:asciiTheme="minorBidi" w:hAnsiTheme="minorBidi" w:cstheme="minorBidi"/>
        </w:rPr>
        <w:t xml:space="preserve"> under international law.   As a </w:t>
      </w:r>
      <w:proofErr w:type="spellStart"/>
      <w:r w:rsidRPr="00B82898">
        <w:rPr>
          <w:rFonts w:asciiTheme="minorBidi" w:hAnsiTheme="minorBidi" w:cstheme="minorBidi"/>
        </w:rPr>
        <w:t>recognised</w:t>
      </w:r>
      <w:proofErr w:type="spellEnd"/>
      <w:r w:rsidRPr="00B82898">
        <w:rPr>
          <w:rFonts w:asciiTheme="minorBidi" w:hAnsiTheme="minorBidi" w:cstheme="minorBidi"/>
        </w:rPr>
        <w:t xml:space="preserve"> refugee under article 16 of the </w:t>
      </w:r>
      <w:r w:rsidR="00DB0F61">
        <w:rPr>
          <w:rFonts w:asciiTheme="minorBidi" w:hAnsiTheme="minorBidi" w:cstheme="minorBidi"/>
        </w:rPr>
        <w:t xml:space="preserve">1951 </w:t>
      </w:r>
      <w:r w:rsidRPr="00B82898">
        <w:rPr>
          <w:rFonts w:asciiTheme="minorBidi" w:hAnsiTheme="minorBidi" w:cstheme="minorBidi"/>
        </w:rPr>
        <w:t>UN Convention</w:t>
      </w:r>
      <w:r w:rsidR="00DB0F61">
        <w:rPr>
          <w:rFonts w:asciiTheme="minorBidi" w:hAnsiTheme="minorBidi" w:cstheme="minorBidi"/>
        </w:rPr>
        <w:t xml:space="preserve"> Relating to the Statu</w:t>
      </w:r>
      <w:r w:rsidR="00F50EC2">
        <w:rPr>
          <w:rFonts w:asciiTheme="minorBidi" w:hAnsiTheme="minorBidi" w:cstheme="minorBidi"/>
        </w:rPr>
        <w:t>s</w:t>
      </w:r>
      <w:r w:rsidR="00DB0F61">
        <w:rPr>
          <w:rFonts w:asciiTheme="minorBidi" w:hAnsiTheme="minorBidi" w:cstheme="minorBidi"/>
        </w:rPr>
        <w:t xml:space="preserve"> of Refugees</w:t>
      </w:r>
      <w:r w:rsidRPr="00B82898">
        <w:rPr>
          <w:rFonts w:asciiTheme="minorBidi" w:hAnsiTheme="minorBidi" w:cstheme="minorBidi"/>
        </w:rPr>
        <w:t xml:space="preserve"> ‘they have a right to </w:t>
      </w:r>
      <w:r w:rsidRPr="00B82898">
        <w:rPr>
          <w:rFonts w:asciiTheme="minorBidi" w:hAnsiTheme="minorBidi" w:cstheme="minorBidi"/>
          <w:i/>
        </w:rPr>
        <w:t>free access to the courts of law</w:t>
      </w:r>
      <w:r w:rsidRPr="00B82898">
        <w:rPr>
          <w:rFonts w:asciiTheme="minorBidi" w:hAnsiTheme="minorBidi" w:cstheme="minorBidi"/>
        </w:rPr>
        <w:t xml:space="preserve"> in the contracting state’ and a right to ‘enjoy in the Contracting State in which he has his habitual residence </w:t>
      </w:r>
      <w:r w:rsidRPr="00B82898">
        <w:rPr>
          <w:rFonts w:asciiTheme="minorBidi" w:hAnsiTheme="minorBidi" w:cstheme="minorBidi"/>
          <w:i/>
        </w:rPr>
        <w:t>the same treatment as a national</w:t>
      </w:r>
      <w:r w:rsidRPr="00B82898">
        <w:rPr>
          <w:rFonts w:asciiTheme="minorBidi" w:hAnsiTheme="minorBidi" w:cstheme="minorBidi"/>
        </w:rPr>
        <w:t xml:space="preserve"> in matters pertaining to access to the Courts, including </w:t>
      </w:r>
      <w:r w:rsidRPr="00B82898">
        <w:rPr>
          <w:rFonts w:asciiTheme="minorBidi" w:hAnsiTheme="minorBidi" w:cstheme="minorBidi"/>
          <w:i/>
        </w:rPr>
        <w:t>legal assistance</w:t>
      </w:r>
      <w:r w:rsidRPr="00B82898">
        <w:rPr>
          <w:rFonts w:asciiTheme="minorBidi" w:hAnsiTheme="minorBidi" w:cstheme="minorBidi"/>
        </w:rPr>
        <w:t xml:space="preserve">.’  </w:t>
      </w:r>
    </w:p>
    <w:p w:rsidR="001D7A82" w:rsidRPr="00B82898" w:rsidRDefault="001D7A82" w:rsidP="00F50EC2">
      <w:pPr>
        <w:pStyle w:val="Default"/>
        <w:spacing w:after="200" w:line="276" w:lineRule="auto"/>
        <w:jc w:val="both"/>
        <w:rPr>
          <w:rFonts w:asciiTheme="minorBidi" w:hAnsiTheme="minorBidi" w:cstheme="minorBidi"/>
        </w:rPr>
      </w:pPr>
      <w:r w:rsidRPr="00B82898">
        <w:rPr>
          <w:rFonts w:asciiTheme="minorBidi" w:hAnsiTheme="minorBidi" w:cstheme="minorBidi"/>
        </w:rPr>
        <w:t xml:space="preserve">The implications of this are as follows. Either the </w:t>
      </w:r>
      <w:proofErr w:type="spellStart"/>
      <w:r w:rsidR="00F50EC2">
        <w:rPr>
          <w:rFonts w:asciiTheme="minorBidi" w:hAnsiTheme="minorBidi" w:cstheme="minorBidi"/>
        </w:rPr>
        <w:t>MoJ</w:t>
      </w:r>
      <w:proofErr w:type="spellEnd"/>
      <w:r w:rsidRPr="00B82898">
        <w:rPr>
          <w:rFonts w:asciiTheme="minorBidi" w:hAnsiTheme="minorBidi" w:cstheme="minorBidi"/>
        </w:rPr>
        <w:t xml:space="preserve"> intends to violate its duties to international </w:t>
      </w:r>
      <w:proofErr w:type="spellStart"/>
      <w:r w:rsidRPr="00B82898">
        <w:rPr>
          <w:rFonts w:asciiTheme="minorBidi" w:hAnsiTheme="minorBidi" w:cstheme="minorBidi"/>
        </w:rPr>
        <w:t>recognised</w:t>
      </w:r>
      <w:proofErr w:type="spellEnd"/>
      <w:r w:rsidRPr="00B82898">
        <w:rPr>
          <w:rFonts w:asciiTheme="minorBidi" w:hAnsiTheme="minorBidi" w:cstheme="minorBidi"/>
        </w:rPr>
        <w:t xml:space="preserve"> refugees under the UN Convention, by applying a different level of treatment with regards access to courts and legal assistance as it does to nationals, or the </w:t>
      </w:r>
      <w:proofErr w:type="spellStart"/>
      <w:r w:rsidRPr="00B82898">
        <w:rPr>
          <w:rFonts w:asciiTheme="minorBidi" w:hAnsiTheme="minorBidi" w:cstheme="minorBidi"/>
        </w:rPr>
        <w:t>MoJ</w:t>
      </w:r>
      <w:proofErr w:type="spellEnd"/>
      <w:r w:rsidRPr="00B82898">
        <w:rPr>
          <w:rFonts w:asciiTheme="minorBidi" w:hAnsiTheme="minorBidi" w:cstheme="minorBidi"/>
        </w:rPr>
        <w:t xml:space="preserve"> intends to deny British citizens legal aid on their return to the UK from periods abroad, to British citizens born abroad and coming to the UK for the first time and to British children born in the UK aged under 1 year old. This is the inevitable logic of a residence test that requires a year’s lawful residence in the UK before legal aid becomes available, regardless of the nationality of the applicant. Conversely, if the </w:t>
      </w:r>
      <w:proofErr w:type="spellStart"/>
      <w:r w:rsidRPr="00B82898">
        <w:rPr>
          <w:rFonts w:asciiTheme="minorBidi" w:hAnsiTheme="minorBidi" w:cstheme="minorBidi"/>
        </w:rPr>
        <w:t>MoJ</w:t>
      </w:r>
      <w:proofErr w:type="spellEnd"/>
      <w:r w:rsidRPr="00B82898">
        <w:rPr>
          <w:rFonts w:asciiTheme="minorBidi" w:hAnsiTheme="minorBidi" w:cstheme="minorBidi"/>
        </w:rPr>
        <w:t xml:space="preserve"> intends to abide by the ruling in </w:t>
      </w:r>
      <w:r w:rsidRPr="004423D8">
        <w:rPr>
          <w:rFonts w:asciiTheme="minorBidi" w:hAnsiTheme="minorBidi" w:cstheme="minorBidi"/>
          <w:i/>
        </w:rPr>
        <w:t>ZH (Tanzania)</w:t>
      </w:r>
      <w:r w:rsidR="00F93CF1">
        <w:rPr>
          <w:rStyle w:val="FootnoteReference"/>
          <w:i/>
        </w:rPr>
        <w:footnoteReference w:id="22"/>
      </w:r>
      <w:r w:rsidRPr="00B82898">
        <w:rPr>
          <w:rFonts w:asciiTheme="minorBidi" w:hAnsiTheme="minorBidi" w:cstheme="minorBidi"/>
        </w:rPr>
        <w:t xml:space="preserve"> that British citizenship is </w:t>
      </w:r>
      <w:r w:rsidR="00DB0F61">
        <w:rPr>
          <w:rFonts w:asciiTheme="minorBidi" w:hAnsiTheme="minorBidi" w:cstheme="minorBidi"/>
        </w:rPr>
        <w:t>“</w:t>
      </w:r>
      <w:r w:rsidRPr="00B82898">
        <w:rPr>
          <w:rFonts w:asciiTheme="minorBidi" w:hAnsiTheme="minorBidi" w:cstheme="minorBidi"/>
        </w:rPr>
        <w:t>a very significant and weighty factor</w:t>
      </w:r>
      <w:r w:rsidR="00DB0F61">
        <w:rPr>
          <w:rFonts w:asciiTheme="minorBidi" w:hAnsiTheme="minorBidi" w:cstheme="minorBidi"/>
        </w:rPr>
        <w:t>”</w:t>
      </w:r>
      <w:r w:rsidRPr="00B82898">
        <w:rPr>
          <w:rFonts w:asciiTheme="minorBidi" w:hAnsiTheme="minorBidi" w:cstheme="minorBidi"/>
        </w:rPr>
        <w:t xml:space="preserve">, and thus provide legal aid to British citizens regardless of the period of time they are resident in the UK, the logic of these proposals is to require them to violate Article 16 of the UN Refugee Convention. It should also be noted the period around a successful refugee claim is one marked with high levels of need from refugees for legal advice and assistance, as old types of social support (typically in the form of </w:t>
      </w:r>
      <w:r w:rsidR="00F93CF1">
        <w:rPr>
          <w:rFonts w:asciiTheme="minorBidi" w:hAnsiTheme="minorBidi" w:cstheme="minorBidi"/>
        </w:rPr>
        <w:t>National Asylum Seekers Service</w:t>
      </w:r>
      <w:r w:rsidR="00F93CF1" w:rsidRPr="00B82898">
        <w:rPr>
          <w:rFonts w:asciiTheme="minorBidi" w:hAnsiTheme="minorBidi" w:cstheme="minorBidi"/>
        </w:rPr>
        <w:t xml:space="preserve"> </w:t>
      </w:r>
      <w:r w:rsidRPr="00B82898">
        <w:rPr>
          <w:rFonts w:asciiTheme="minorBidi" w:hAnsiTheme="minorBidi" w:cstheme="minorBidi"/>
        </w:rPr>
        <w:t>accommodation and subsistence support) are removed and new entitlements and duties are imposed, such as the ability to work and the necessity of finding their own suitable accommodation. Apparent conflict between this residence test and the government’s obligations under the Refugee Convention are therefore highly likely to produce further litigation and to be found unlawful.</w:t>
      </w:r>
    </w:p>
    <w:p w:rsidR="001D7A82" w:rsidRDefault="001D7A82" w:rsidP="00D3344A">
      <w:pPr>
        <w:pStyle w:val="Default"/>
        <w:spacing w:after="200" w:line="276" w:lineRule="auto"/>
        <w:jc w:val="both"/>
        <w:rPr>
          <w:rFonts w:asciiTheme="minorBidi" w:hAnsiTheme="minorBidi" w:cstheme="minorBidi"/>
          <w:bCs/>
        </w:rPr>
      </w:pPr>
      <w:r w:rsidRPr="00B82898">
        <w:rPr>
          <w:rFonts w:asciiTheme="minorBidi" w:hAnsiTheme="minorBidi" w:cstheme="minorBidi"/>
          <w:bCs/>
        </w:rPr>
        <w:t xml:space="preserve">The second point that should be made in connection to the provision of legal aid for asylum seekers is the effective withdrawal of legal aid for those lodging a fresh claim for asylum, following the dismissal of their original claim. This provision was maintained during the government’s previous round of cuts to legal aid under </w:t>
      </w:r>
      <w:r w:rsidR="00F93CF1">
        <w:rPr>
          <w:rFonts w:asciiTheme="minorBidi" w:hAnsiTheme="minorBidi" w:cstheme="minorBidi"/>
          <w:bCs/>
        </w:rPr>
        <w:t>the Legal Aid, Punishment and Sentencing of Offenders Act 2012 (</w:t>
      </w:r>
      <w:r w:rsidRPr="00B82898">
        <w:rPr>
          <w:rFonts w:asciiTheme="minorBidi" w:hAnsiTheme="minorBidi" w:cstheme="minorBidi"/>
          <w:bCs/>
        </w:rPr>
        <w:t>LASPO</w:t>
      </w:r>
      <w:r w:rsidR="00F93CF1">
        <w:rPr>
          <w:rFonts w:asciiTheme="minorBidi" w:hAnsiTheme="minorBidi" w:cstheme="minorBidi"/>
          <w:bCs/>
        </w:rPr>
        <w:t>)</w:t>
      </w:r>
      <w:r w:rsidRPr="00B82898">
        <w:rPr>
          <w:rFonts w:asciiTheme="minorBidi" w:hAnsiTheme="minorBidi" w:cstheme="minorBidi"/>
          <w:bCs/>
        </w:rPr>
        <w:t xml:space="preserve"> as it was </w:t>
      </w:r>
      <w:proofErr w:type="spellStart"/>
      <w:r w:rsidRPr="00B82898">
        <w:rPr>
          <w:rFonts w:asciiTheme="minorBidi" w:hAnsiTheme="minorBidi" w:cstheme="minorBidi"/>
          <w:bCs/>
        </w:rPr>
        <w:t>recognised</w:t>
      </w:r>
      <w:proofErr w:type="spellEnd"/>
      <w:r w:rsidRPr="00B82898">
        <w:rPr>
          <w:rFonts w:asciiTheme="minorBidi" w:hAnsiTheme="minorBidi" w:cstheme="minorBidi"/>
          <w:bCs/>
        </w:rPr>
        <w:t xml:space="preserve"> at the time that the failure to provide legal aid to those lodging fresh claims would constitute a violation of the UN Refugee convention. Nothing has changed since LASPO was passed to affect the status in law of those lodging fresh claims for asylum, and therefore there is no reason to presume that the removal of legal aid to assist in those claims would be any less unlawful.</w:t>
      </w:r>
    </w:p>
    <w:p w:rsidR="00F11BA2" w:rsidRPr="00B82898" w:rsidRDefault="00F11BA2" w:rsidP="00FB26A2">
      <w:pPr>
        <w:pStyle w:val="Default"/>
        <w:spacing w:after="200" w:line="276" w:lineRule="auto"/>
        <w:jc w:val="both"/>
        <w:rPr>
          <w:rFonts w:asciiTheme="minorBidi" w:hAnsiTheme="minorBidi" w:cstheme="minorBidi"/>
          <w:bCs/>
        </w:rPr>
      </w:pPr>
      <w:r w:rsidRPr="00B82898">
        <w:rPr>
          <w:rFonts w:asciiTheme="minorBidi" w:hAnsiTheme="minorBidi" w:cstheme="minorBidi"/>
          <w:bCs/>
        </w:rPr>
        <w:t>The consultation paper proposes tha</w:t>
      </w:r>
      <w:r>
        <w:rPr>
          <w:rFonts w:asciiTheme="minorBidi" w:hAnsiTheme="minorBidi" w:cstheme="minorBidi"/>
          <w:bCs/>
        </w:rPr>
        <w:t>t</w:t>
      </w:r>
      <w:r w:rsidRPr="00B82898">
        <w:rPr>
          <w:rFonts w:asciiTheme="minorBidi" w:hAnsiTheme="minorBidi" w:cstheme="minorBidi"/>
          <w:bCs/>
        </w:rPr>
        <w:t xml:space="preserve"> the residence test would be carried out by the legal aid provider dealing with the application f</w:t>
      </w:r>
      <w:r>
        <w:rPr>
          <w:rFonts w:asciiTheme="minorBidi" w:hAnsiTheme="minorBidi" w:cstheme="minorBidi"/>
          <w:bCs/>
        </w:rPr>
        <w:t>o</w:t>
      </w:r>
      <w:r w:rsidRPr="00B82898">
        <w:rPr>
          <w:rFonts w:asciiTheme="minorBidi" w:hAnsiTheme="minorBidi" w:cstheme="minorBidi"/>
          <w:bCs/>
        </w:rPr>
        <w:t>r legal aid. We are particularly concerned in this regard with the potential implications for those who are most vulnerable in society. The ascertaining of lawful residence is often highly contentious and poses a considerable challenge even for immigration specialists. Indeed, the UK Border Agency’s own internal policy on dealing with requests from members of the public for confirmation of their legal status is to instruct them to seek legal advice. There is therefore a real danger that non-immigration specialist lawyers will be unable to provide a service to anyone without obvious lawful residence for fear of having their costs recouped by the Legal Aid Agency for lack of proof of the client’s residence. This will not only affect those with contentious claims to leave to remain, such as those with a right of residence under E</w:t>
      </w:r>
      <w:r w:rsidR="00F93CF1">
        <w:rPr>
          <w:rFonts w:asciiTheme="minorBidi" w:hAnsiTheme="minorBidi" w:cstheme="minorBidi"/>
          <w:bCs/>
        </w:rPr>
        <w:t xml:space="preserve">uropean </w:t>
      </w:r>
      <w:r w:rsidRPr="00B82898">
        <w:rPr>
          <w:rFonts w:asciiTheme="minorBidi" w:hAnsiTheme="minorBidi" w:cstheme="minorBidi"/>
          <w:bCs/>
        </w:rPr>
        <w:t>E</w:t>
      </w:r>
      <w:r w:rsidR="00F93CF1">
        <w:rPr>
          <w:rFonts w:asciiTheme="minorBidi" w:hAnsiTheme="minorBidi" w:cstheme="minorBidi"/>
          <w:bCs/>
        </w:rPr>
        <w:t xml:space="preserve">conomic </w:t>
      </w:r>
      <w:r w:rsidRPr="00B82898">
        <w:rPr>
          <w:rFonts w:asciiTheme="minorBidi" w:hAnsiTheme="minorBidi" w:cstheme="minorBidi"/>
          <w:bCs/>
        </w:rPr>
        <w:t>A</w:t>
      </w:r>
      <w:r w:rsidR="00F93CF1">
        <w:rPr>
          <w:rFonts w:asciiTheme="minorBidi" w:hAnsiTheme="minorBidi" w:cstheme="minorBidi"/>
          <w:bCs/>
        </w:rPr>
        <w:t>rea</w:t>
      </w:r>
      <w:r w:rsidRPr="00B82898">
        <w:rPr>
          <w:rFonts w:asciiTheme="minorBidi" w:hAnsiTheme="minorBidi" w:cstheme="minorBidi"/>
          <w:bCs/>
        </w:rPr>
        <w:t xml:space="preserve"> </w:t>
      </w:r>
      <w:r w:rsidR="00F50EC2">
        <w:rPr>
          <w:rFonts w:asciiTheme="minorBidi" w:hAnsiTheme="minorBidi" w:cstheme="minorBidi"/>
          <w:bCs/>
        </w:rPr>
        <w:t>R</w:t>
      </w:r>
      <w:r w:rsidRPr="00B82898">
        <w:rPr>
          <w:rFonts w:asciiTheme="minorBidi" w:hAnsiTheme="minorBidi" w:cstheme="minorBidi"/>
          <w:bCs/>
        </w:rPr>
        <w:t xml:space="preserve">egulations who lack a residence permit, those with continuing leave to remain under Section 3c of the 1971 Immigration Act whose original limited leave has expired, or those with complex British nationality claims. It will also affect those with valid leave who lack the capacity to provide simple documentary proof of it. These are likely to be the most vulnerable in society, including those with mental illness, </w:t>
      </w:r>
      <w:r>
        <w:rPr>
          <w:rFonts w:asciiTheme="minorBidi" w:hAnsiTheme="minorBidi" w:cstheme="minorBidi"/>
          <w:bCs/>
        </w:rPr>
        <w:t>children</w:t>
      </w:r>
      <w:r w:rsidRPr="00B82898">
        <w:rPr>
          <w:rFonts w:asciiTheme="minorBidi" w:hAnsiTheme="minorBidi" w:cstheme="minorBidi"/>
          <w:bCs/>
        </w:rPr>
        <w:t xml:space="preserve"> and those trapped in abusive relationships in which legal documentation is frequently controlled by the abusive partner. These are the very people that legal aid is intended to assist and yet the residence test will, albeit as an unintended consequence, deny them the assistance they require and that they are entitled to. This will not only create injustice, but is also highly likely to lead to the test being declared </w:t>
      </w:r>
      <w:r w:rsidR="00FB26A2">
        <w:rPr>
          <w:rFonts w:asciiTheme="minorBidi" w:hAnsiTheme="minorBidi" w:cstheme="minorBidi"/>
          <w:bCs/>
        </w:rPr>
        <w:t xml:space="preserve">incompatible </w:t>
      </w:r>
      <w:r w:rsidRPr="00B82898">
        <w:rPr>
          <w:rFonts w:asciiTheme="minorBidi" w:hAnsiTheme="minorBidi" w:cstheme="minorBidi"/>
          <w:bCs/>
        </w:rPr>
        <w:t xml:space="preserve">with </w:t>
      </w:r>
      <w:r>
        <w:rPr>
          <w:rFonts w:asciiTheme="minorBidi" w:hAnsiTheme="minorBidi" w:cstheme="minorBidi"/>
          <w:bCs/>
        </w:rPr>
        <w:t>A</w:t>
      </w:r>
      <w:r w:rsidRPr="00B82898">
        <w:rPr>
          <w:rFonts w:asciiTheme="minorBidi" w:hAnsiTheme="minorBidi" w:cstheme="minorBidi"/>
          <w:bCs/>
        </w:rPr>
        <w:t>rticle 6 of the ECHR.</w:t>
      </w:r>
    </w:p>
    <w:p w:rsidR="00F50EC2" w:rsidRDefault="00F50EC2" w:rsidP="00F11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p>
    <w:p w:rsidR="00CB5203" w:rsidRPr="00B82898" w:rsidRDefault="00CB5203" w:rsidP="00B82898">
      <w:pPr>
        <w:jc w:val="both"/>
        <w:rPr>
          <w:rFonts w:asciiTheme="minorBidi" w:hAnsiTheme="minorBidi"/>
          <w:sz w:val="24"/>
          <w:szCs w:val="24"/>
        </w:rPr>
      </w:pPr>
    </w:p>
    <w:p w:rsidR="001E3038" w:rsidRPr="00B82898" w:rsidRDefault="001E3038" w:rsidP="00B82898">
      <w:pPr>
        <w:jc w:val="both"/>
        <w:rPr>
          <w:rFonts w:asciiTheme="minorBidi" w:hAnsiTheme="minorBidi"/>
          <w:sz w:val="24"/>
          <w:szCs w:val="24"/>
        </w:rPr>
      </w:pPr>
    </w:p>
    <w:sectPr w:rsidR="001E3038" w:rsidRPr="00B8289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EC2" w:rsidRDefault="00F50EC2" w:rsidP="00DA6E21">
      <w:pPr>
        <w:spacing w:after="0" w:line="240" w:lineRule="auto"/>
      </w:pPr>
      <w:r>
        <w:separator/>
      </w:r>
    </w:p>
  </w:endnote>
  <w:endnote w:type="continuationSeparator" w:id="0">
    <w:p w:rsidR="00F50EC2" w:rsidRDefault="00F50EC2" w:rsidP="00DA6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EC2" w:rsidRDefault="00F50EC2" w:rsidP="00DA6E21">
      <w:pPr>
        <w:spacing w:after="0" w:line="240" w:lineRule="auto"/>
      </w:pPr>
      <w:r>
        <w:separator/>
      </w:r>
    </w:p>
  </w:footnote>
  <w:footnote w:type="continuationSeparator" w:id="0">
    <w:p w:rsidR="00F50EC2" w:rsidRDefault="00F50EC2" w:rsidP="00DA6E21">
      <w:pPr>
        <w:spacing w:after="0" w:line="240" w:lineRule="auto"/>
      </w:pPr>
      <w:r>
        <w:continuationSeparator/>
      </w:r>
    </w:p>
  </w:footnote>
  <w:footnote w:id="1">
    <w:p w:rsidR="00F50EC2" w:rsidRPr="00F50EC2" w:rsidRDefault="00F50EC2" w:rsidP="00F50E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sz w:val="20"/>
          <w:szCs w:val="20"/>
        </w:rPr>
      </w:pPr>
      <w:r w:rsidRPr="00F50EC2">
        <w:rPr>
          <w:rStyle w:val="FootnoteReference"/>
          <w:rFonts w:asciiTheme="minorHAnsi" w:hAnsiTheme="minorHAnsi"/>
          <w:sz w:val="20"/>
          <w:szCs w:val="20"/>
        </w:rPr>
        <w:footnoteRef/>
      </w:r>
      <w:r w:rsidRPr="00F50EC2">
        <w:rPr>
          <w:sz w:val="20"/>
          <w:szCs w:val="20"/>
        </w:rPr>
        <w:t xml:space="preserve"> </w:t>
      </w:r>
      <w:r w:rsidRPr="00F50EC2">
        <w:rPr>
          <w:rFonts w:cs="Arial"/>
          <w:bCs/>
          <w:sz w:val="20"/>
          <w:szCs w:val="20"/>
        </w:rPr>
        <w:t xml:space="preserve">This response was compiled by Thomas </w:t>
      </w:r>
      <w:proofErr w:type="spellStart"/>
      <w:r w:rsidRPr="00F50EC2">
        <w:rPr>
          <w:rFonts w:cs="Arial"/>
          <w:bCs/>
          <w:sz w:val="20"/>
          <w:szCs w:val="20"/>
        </w:rPr>
        <w:t>Southerden</w:t>
      </w:r>
      <w:proofErr w:type="spellEnd"/>
      <w:r>
        <w:rPr>
          <w:rFonts w:cs="Arial"/>
          <w:bCs/>
          <w:sz w:val="20"/>
          <w:szCs w:val="20"/>
        </w:rPr>
        <w:t xml:space="preserve"> (PhD Candidate)</w:t>
      </w:r>
      <w:r w:rsidRPr="00F50EC2">
        <w:rPr>
          <w:rFonts w:cs="Arial"/>
          <w:bCs/>
          <w:sz w:val="20"/>
          <w:szCs w:val="20"/>
        </w:rPr>
        <w:t xml:space="preserve">, Kim Brayson and Elizabeth Craig on behalf of the Centre for Responsibilities, Rights and the Law, Sussex Law school, University of Sussex  </w:t>
      </w:r>
      <w:hyperlink r:id="rId1" w:history="1">
        <w:r w:rsidRPr="00F50EC2">
          <w:rPr>
            <w:rStyle w:val="Hyperlink"/>
            <w:rFonts w:cs="Arial"/>
            <w:sz w:val="20"/>
            <w:szCs w:val="20"/>
          </w:rPr>
          <w:t>http://www.sussex.ac.uk/crrl/</w:t>
        </w:r>
      </w:hyperlink>
      <w:r w:rsidRPr="00F50EC2">
        <w:rPr>
          <w:rFonts w:cs="Arial"/>
          <w:sz w:val="20"/>
          <w:szCs w:val="20"/>
        </w:rPr>
        <w:t xml:space="preserve">  (</w:t>
      </w:r>
      <w:r w:rsidRPr="00F50EC2">
        <w:rPr>
          <w:rFonts w:cs="Arial"/>
          <w:iCs/>
          <w:sz w:val="20"/>
          <w:szCs w:val="20"/>
        </w:rPr>
        <w:t>4 June 2013).</w:t>
      </w:r>
    </w:p>
  </w:footnote>
  <w:footnote w:id="2">
    <w:p w:rsidR="00F50EC2" w:rsidRDefault="00F50EC2" w:rsidP="00F50EC2">
      <w:pPr>
        <w:pStyle w:val="FootnoteText"/>
      </w:pPr>
      <w:r>
        <w:rPr>
          <w:rStyle w:val="FootnoteReference"/>
        </w:rPr>
        <w:footnoteRef/>
      </w:r>
      <w:r>
        <w:t xml:space="preserve"> UN Special Rapporteur, Gabriela </w:t>
      </w:r>
      <w:proofErr w:type="spellStart"/>
      <w:r>
        <w:t>Knaul</w:t>
      </w:r>
      <w:proofErr w:type="spellEnd"/>
      <w:r>
        <w:t xml:space="preserve"> (Geneva, 30 May 2013) ‘Legal Aid: A Right in Itself’ </w:t>
      </w:r>
      <w:hyperlink r:id="rId2" w:history="1">
        <w:r w:rsidRPr="005E6F31">
          <w:rPr>
            <w:rStyle w:val="Hyperlink"/>
          </w:rPr>
          <w:t>http://www.ohchr.org/EN/NewsEvents/Pages/DisplayNews.aspx?NewsID=13382&amp;LangID=E</w:t>
        </w:r>
      </w:hyperlink>
      <w:r>
        <w:t xml:space="preserve"> (accessed 3 June 2013).</w:t>
      </w:r>
    </w:p>
  </w:footnote>
  <w:footnote w:id="3">
    <w:p w:rsidR="00F50EC2" w:rsidRDefault="00F50EC2">
      <w:pPr>
        <w:pStyle w:val="FootnoteText"/>
      </w:pPr>
      <w:r>
        <w:rPr>
          <w:rStyle w:val="FootnoteReference"/>
        </w:rPr>
        <w:footnoteRef/>
      </w:r>
      <w:r>
        <w:t xml:space="preserve"> Article 1 ECHR Obligation to respect human rights</w:t>
      </w:r>
    </w:p>
  </w:footnote>
  <w:footnote w:id="4">
    <w:p w:rsidR="00F50EC2" w:rsidRDefault="00F50EC2" w:rsidP="00DD586F">
      <w:pPr>
        <w:pStyle w:val="FootnoteText"/>
      </w:pPr>
      <w:r>
        <w:rPr>
          <w:rStyle w:val="FootnoteReference"/>
        </w:rPr>
        <w:footnoteRef/>
      </w:r>
      <w:r>
        <w:t xml:space="preserve"> (Application No. 8777/79) </w:t>
      </w:r>
      <w:proofErr w:type="spellStart"/>
      <w:r>
        <w:t>ECtHR</w:t>
      </w:r>
      <w:proofErr w:type="spellEnd"/>
      <w:r>
        <w:t xml:space="preserve"> 28 November 1984</w:t>
      </w:r>
    </w:p>
  </w:footnote>
  <w:footnote w:id="5">
    <w:p w:rsidR="00F50EC2" w:rsidRDefault="00F50EC2" w:rsidP="00600F08">
      <w:pPr>
        <w:pStyle w:val="FootnoteText"/>
      </w:pPr>
      <w:r>
        <w:rPr>
          <w:rStyle w:val="FootnoteReference"/>
        </w:rPr>
        <w:footnoteRef/>
      </w:r>
      <w:r>
        <w:t xml:space="preserve"> E.g. the recent decision of the European Commission to refer the UK’s refusal of benefits to the citizen of another member State on the ground that they have not yet established a right to reside in the UK to the Court of Justice</w:t>
      </w:r>
      <w:r w:rsidR="00600F08">
        <w:t xml:space="preserve"> of the EU</w:t>
      </w:r>
      <w:r>
        <w:t xml:space="preserve">.  </w:t>
      </w:r>
    </w:p>
  </w:footnote>
  <w:footnote w:id="6">
    <w:p w:rsidR="00F50EC2" w:rsidRDefault="00F50EC2" w:rsidP="00DB0F61">
      <w:pPr>
        <w:pStyle w:val="FootnoteText"/>
      </w:pPr>
      <w:r>
        <w:rPr>
          <w:rStyle w:val="FootnoteReference"/>
        </w:rPr>
        <w:footnoteRef/>
      </w:r>
      <w:r>
        <w:t xml:space="preserve"> Including that of third country nationals, i.e. those coming from outside the European Union, see for example  Case C-34/09 </w:t>
      </w:r>
      <w:r w:rsidRPr="00142525">
        <w:rPr>
          <w:i/>
        </w:rPr>
        <w:t xml:space="preserve">Ruiz </w:t>
      </w:r>
      <w:proofErr w:type="spellStart"/>
      <w:r w:rsidRPr="00142525">
        <w:rPr>
          <w:i/>
        </w:rPr>
        <w:t>Zambrano</w:t>
      </w:r>
      <w:proofErr w:type="spellEnd"/>
      <w:r>
        <w:rPr>
          <w:i/>
        </w:rPr>
        <w:t xml:space="preserve"> </w:t>
      </w:r>
      <w:r w:rsidRPr="00142525">
        <w:t>Grand Chamber judgment, 8 March 2011</w:t>
      </w:r>
      <w:r>
        <w:rPr>
          <w:i/>
        </w:rPr>
        <w:t xml:space="preserve"> </w:t>
      </w:r>
      <w:r>
        <w:t>[2011] All ER (EC) 491</w:t>
      </w:r>
      <w:r>
        <w:rPr>
          <w:i/>
        </w:rPr>
        <w:t xml:space="preserve">; </w:t>
      </w:r>
      <w:r>
        <w:t xml:space="preserve">Case C-26/11 </w:t>
      </w:r>
      <w:proofErr w:type="spellStart"/>
      <w:r>
        <w:rPr>
          <w:i/>
        </w:rPr>
        <w:t>Dereci</w:t>
      </w:r>
      <w:proofErr w:type="spellEnd"/>
      <w:r>
        <w:rPr>
          <w:i/>
        </w:rPr>
        <w:t xml:space="preserve"> </w:t>
      </w:r>
      <w:r w:rsidRPr="00142525">
        <w:t>[2012]</w:t>
      </w:r>
      <w:r>
        <w:t xml:space="preserve"> All ER (EC) 373</w:t>
      </w:r>
    </w:p>
  </w:footnote>
  <w:footnote w:id="7">
    <w:p w:rsidR="00F50EC2" w:rsidRDefault="00F50EC2" w:rsidP="00F11BA2">
      <w:pPr>
        <w:pStyle w:val="FootnoteText"/>
      </w:pPr>
      <w:r>
        <w:rPr>
          <w:rStyle w:val="FootnoteReference"/>
        </w:rPr>
        <w:footnoteRef/>
      </w:r>
      <w:r>
        <w:t xml:space="preserve"> </w:t>
      </w:r>
      <w:r>
        <w:rPr>
          <w:i/>
        </w:rPr>
        <w:t>R (</w:t>
      </w:r>
      <w:proofErr w:type="spellStart"/>
      <w:r>
        <w:rPr>
          <w:i/>
        </w:rPr>
        <w:t>Ullah</w:t>
      </w:r>
      <w:proofErr w:type="spellEnd"/>
      <w:r>
        <w:rPr>
          <w:i/>
        </w:rPr>
        <w:t xml:space="preserve">)  v Special Adjudicator </w:t>
      </w:r>
      <w:r>
        <w:t xml:space="preserve">[2004] UKHL; [2004] 2 AC 323 as per Lord Bingham </w:t>
      </w:r>
      <w:proofErr w:type="spellStart"/>
      <w:r>
        <w:t>para</w:t>
      </w:r>
      <w:proofErr w:type="spellEnd"/>
      <w:r>
        <w:t xml:space="preserve"> 9</w:t>
      </w:r>
    </w:p>
  </w:footnote>
  <w:footnote w:id="8">
    <w:p w:rsidR="00F50EC2" w:rsidRPr="0046788B" w:rsidRDefault="00F50EC2" w:rsidP="00F11BA2">
      <w:pPr>
        <w:pStyle w:val="FootnoteText"/>
      </w:pPr>
      <w:r>
        <w:rPr>
          <w:rStyle w:val="FootnoteReference"/>
        </w:rPr>
        <w:footnoteRef/>
      </w:r>
      <w:r>
        <w:t xml:space="preserve"> </w:t>
      </w:r>
      <w:r w:rsidRPr="0046788B">
        <w:rPr>
          <w:i/>
        </w:rPr>
        <w:t>Do (FC) v Secretary of State for the Home Department</w:t>
      </w:r>
      <w:r>
        <w:rPr>
          <w:i/>
        </w:rPr>
        <w:t xml:space="preserve"> </w:t>
      </w:r>
      <w:r>
        <w:t xml:space="preserve">joint appeal with </w:t>
      </w:r>
      <w:proofErr w:type="spellStart"/>
      <w:r w:rsidRPr="0046788B">
        <w:rPr>
          <w:i/>
        </w:rPr>
        <w:t>Ullah</w:t>
      </w:r>
      <w:proofErr w:type="spellEnd"/>
    </w:p>
  </w:footnote>
  <w:footnote w:id="9">
    <w:p w:rsidR="00F50EC2" w:rsidRDefault="00F50EC2" w:rsidP="00F11BA2">
      <w:pPr>
        <w:pStyle w:val="FootnoteText"/>
      </w:pPr>
      <w:r>
        <w:rPr>
          <w:rStyle w:val="FootnoteReference"/>
        </w:rPr>
        <w:footnoteRef/>
      </w:r>
      <w:r>
        <w:t xml:space="preserve"> </w:t>
      </w:r>
      <w:proofErr w:type="spellStart"/>
      <w:r w:rsidRPr="00C508B8">
        <w:rPr>
          <w:i/>
        </w:rPr>
        <w:t>Deevaseelan</w:t>
      </w:r>
      <w:proofErr w:type="spellEnd"/>
      <w:r w:rsidRPr="00C508B8">
        <w:rPr>
          <w:i/>
        </w:rPr>
        <w:t xml:space="preserve"> v Secretary of State for the Home Department</w:t>
      </w:r>
      <w:r>
        <w:t xml:space="preserve"> [2003] </w:t>
      </w:r>
      <w:proofErr w:type="spellStart"/>
      <w:r>
        <w:t>Imm</w:t>
      </w:r>
      <w:proofErr w:type="spellEnd"/>
      <w:r>
        <w:t xml:space="preserve"> A R 1</w:t>
      </w:r>
    </w:p>
  </w:footnote>
  <w:footnote w:id="10">
    <w:p w:rsidR="00F50EC2" w:rsidRPr="00DD586F" w:rsidRDefault="00F50EC2" w:rsidP="00C94923">
      <w:pPr>
        <w:spacing w:after="0" w:line="240" w:lineRule="auto"/>
        <w:rPr>
          <w:sz w:val="20"/>
          <w:szCs w:val="20"/>
        </w:rPr>
      </w:pPr>
      <w:r>
        <w:rPr>
          <w:rStyle w:val="FootnoteReference"/>
        </w:rPr>
        <w:footnoteRef/>
      </w:r>
      <w:r>
        <w:t xml:space="preserve"> </w:t>
      </w:r>
      <w:r w:rsidRPr="00DD586F">
        <w:rPr>
          <w:rStyle w:val="head"/>
          <w:i/>
          <w:sz w:val="20"/>
          <w:szCs w:val="20"/>
        </w:rPr>
        <w:t>EM (Lebanon) (FC) v Secretary of State for the Home Department</w:t>
      </w:r>
      <w:r w:rsidRPr="00DD586F">
        <w:rPr>
          <w:rStyle w:val="head"/>
          <w:sz w:val="20"/>
          <w:szCs w:val="20"/>
        </w:rPr>
        <w:t xml:space="preserve"> [2008] UKHL 64</w:t>
      </w:r>
    </w:p>
  </w:footnote>
  <w:footnote w:id="11">
    <w:p w:rsidR="00F50EC2" w:rsidRPr="00547391" w:rsidRDefault="00F50EC2" w:rsidP="00F11BA2">
      <w:pPr>
        <w:spacing w:after="0" w:line="240" w:lineRule="auto"/>
        <w:jc w:val="both"/>
        <w:rPr>
          <w:rFonts w:ascii="Times New Roman" w:hAnsi="Times New Roman" w:cs="Times New Roman"/>
          <w:sz w:val="20"/>
          <w:szCs w:val="20"/>
        </w:rPr>
      </w:pPr>
      <w:r>
        <w:rPr>
          <w:rStyle w:val="FootnoteReference"/>
        </w:rPr>
        <w:footnoteRef/>
      </w:r>
      <w:r>
        <w:t xml:space="preserve"> </w:t>
      </w:r>
      <w:r w:rsidRPr="00945813">
        <w:rPr>
          <w:rFonts w:cs="Arial"/>
          <w:i/>
          <w:iCs/>
          <w:sz w:val="20"/>
          <w:szCs w:val="20"/>
        </w:rPr>
        <w:t xml:space="preserve">Regina v Secretary of the State for the Home Department ex parte </w:t>
      </w:r>
      <w:proofErr w:type="spellStart"/>
      <w:r w:rsidRPr="00945813">
        <w:rPr>
          <w:rFonts w:cs="Arial"/>
          <w:i/>
          <w:iCs/>
          <w:sz w:val="20"/>
          <w:szCs w:val="20"/>
        </w:rPr>
        <w:t>Razgar</w:t>
      </w:r>
      <w:proofErr w:type="spellEnd"/>
      <w:r w:rsidRPr="00777F7E">
        <w:rPr>
          <w:sz w:val="20"/>
          <w:szCs w:val="20"/>
        </w:rPr>
        <w:t xml:space="preserve"> [2004] UKHL 27 </w:t>
      </w:r>
      <w:proofErr w:type="spellStart"/>
      <w:r w:rsidRPr="00777F7E">
        <w:rPr>
          <w:sz w:val="20"/>
          <w:szCs w:val="20"/>
        </w:rPr>
        <w:t>para</w:t>
      </w:r>
      <w:proofErr w:type="spellEnd"/>
      <w:r w:rsidRPr="00777F7E">
        <w:rPr>
          <w:sz w:val="20"/>
          <w:szCs w:val="20"/>
        </w:rPr>
        <w:t xml:space="preserve"> 42</w:t>
      </w:r>
    </w:p>
    <w:p w:rsidR="00F50EC2" w:rsidRPr="00614861" w:rsidRDefault="00F50EC2" w:rsidP="00F11BA2">
      <w:pPr>
        <w:pStyle w:val="FootnoteText"/>
      </w:pPr>
    </w:p>
  </w:footnote>
  <w:footnote w:id="12">
    <w:p w:rsidR="00F50EC2" w:rsidRPr="00945813" w:rsidRDefault="00F50EC2" w:rsidP="00F11BA2">
      <w:pPr>
        <w:pStyle w:val="FootnoteText"/>
        <w:rPr>
          <w:lang w:val="es-ES"/>
        </w:rPr>
      </w:pPr>
      <w:r>
        <w:rPr>
          <w:rStyle w:val="FootnoteReference"/>
        </w:rPr>
        <w:footnoteRef/>
      </w:r>
      <w:r w:rsidRPr="00945813">
        <w:rPr>
          <w:lang w:val="es-ES"/>
        </w:rPr>
        <w:t xml:space="preserve"> </w:t>
      </w:r>
      <w:r w:rsidRPr="00945813">
        <w:rPr>
          <w:i/>
          <w:lang w:val="es-ES"/>
        </w:rPr>
        <w:t>EM Lebanon</w:t>
      </w:r>
      <w:r>
        <w:rPr>
          <w:lang w:val="es-ES"/>
        </w:rPr>
        <w:t xml:space="preserve"> para 4; </w:t>
      </w:r>
      <w:proofErr w:type="spellStart"/>
      <w:r w:rsidRPr="00945813">
        <w:rPr>
          <w:i/>
          <w:lang w:val="es-ES"/>
        </w:rPr>
        <w:t>Ullah</w:t>
      </w:r>
      <w:proofErr w:type="spellEnd"/>
      <w:r w:rsidRPr="00945813">
        <w:rPr>
          <w:lang w:val="es-ES"/>
        </w:rPr>
        <w:t xml:space="preserve"> para 50</w:t>
      </w:r>
      <w:r>
        <w:rPr>
          <w:lang w:val="es-ES"/>
        </w:rPr>
        <w:t xml:space="preserve">; </w:t>
      </w:r>
      <w:proofErr w:type="spellStart"/>
      <w:r w:rsidRPr="00945813">
        <w:rPr>
          <w:i/>
          <w:lang w:val="es-ES"/>
        </w:rPr>
        <w:t>Deevaseelan</w:t>
      </w:r>
      <w:proofErr w:type="spellEnd"/>
    </w:p>
  </w:footnote>
  <w:footnote w:id="13">
    <w:p w:rsidR="00F50EC2" w:rsidRDefault="00F50EC2" w:rsidP="00F11BA2">
      <w:pPr>
        <w:pStyle w:val="FootnoteText"/>
      </w:pPr>
      <w:r>
        <w:rPr>
          <w:rStyle w:val="FootnoteReference"/>
        </w:rPr>
        <w:footnoteRef/>
      </w:r>
      <w:r>
        <w:t xml:space="preserve"> See also </w:t>
      </w:r>
      <w:proofErr w:type="spellStart"/>
      <w:r w:rsidRPr="00E15862">
        <w:rPr>
          <w:i/>
          <w:iCs/>
        </w:rPr>
        <w:t>Chikwamba</w:t>
      </w:r>
      <w:proofErr w:type="spellEnd"/>
      <w:r w:rsidRPr="00E15862">
        <w:rPr>
          <w:i/>
          <w:iCs/>
        </w:rPr>
        <w:t xml:space="preserve"> v Secretary of the State for the Home Department</w:t>
      </w:r>
      <w:r>
        <w:t xml:space="preserve"> [2008] UKHL 40; </w:t>
      </w:r>
      <w:proofErr w:type="spellStart"/>
      <w:r w:rsidRPr="00E15862">
        <w:rPr>
          <w:i/>
          <w:iCs/>
        </w:rPr>
        <w:t>Beoku</w:t>
      </w:r>
      <w:proofErr w:type="spellEnd"/>
      <w:r w:rsidRPr="00E15862">
        <w:rPr>
          <w:i/>
          <w:iCs/>
        </w:rPr>
        <w:t>-Betts v Secretary of State for the Home Department</w:t>
      </w:r>
      <w:r>
        <w:t xml:space="preserve"> [2008] UKHL 39, [2009] 1 A.C. 115; </w:t>
      </w:r>
      <w:r w:rsidRPr="00E15862">
        <w:rPr>
          <w:i/>
          <w:iCs/>
        </w:rPr>
        <w:t>Huang v Secretary of the State for the Home Department, Al-</w:t>
      </w:r>
      <w:proofErr w:type="spellStart"/>
      <w:r w:rsidRPr="00E15862">
        <w:rPr>
          <w:i/>
          <w:iCs/>
        </w:rPr>
        <w:t>Qulbain</w:t>
      </w:r>
      <w:proofErr w:type="spellEnd"/>
      <w:r w:rsidRPr="00E15862">
        <w:rPr>
          <w:i/>
          <w:iCs/>
        </w:rPr>
        <w:t xml:space="preserve"> v Same, Kashmiri v Same</w:t>
      </w:r>
      <w:r>
        <w:t xml:space="preserve"> [2005] EWCA </w:t>
      </w:r>
      <w:proofErr w:type="spellStart"/>
      <w:r>
        <w:t>Civ</w:t>
      </w:r>
      <w:proofErr w:type="spellEnd"/>
      <w:r>
        <w:t xml:space="preserve"> 105 [2006] Q.B. 1.</w:t>
      </w:r>
    </w:p>
  </w:footnote>
  <w:footnote w:id="14">
    <w:p w:rsidR="00F50EC2" w:rsidRDefault="00F50EC2" w:rsidP="00F11BA2">
      <w:pPr>
        <w:pStyle w:val="FootnoteText"/>
      </w:pPr>
      <w:r>
        <w:rPr>
          <w:rStyle w:val="FootnoteReference"/>
        </w:rPr>
        <w:footnoteRef/>
      </w:r>
      <w:r>
        <w:t xml:space="preserve"> </w:t>
      </w:r>
      <w:proofErr w:type="spellStart"/>
      <w:r>
        <w:rPr>
          <w:i/>
          <w:iCs/>
        </w:rPr>
        <w:t>Soering</w:t>
      </w:r>
      <w:proofErr w:type="spellEnd"/>
      <w:r>
        <w:rPr>
          <w:i/>
          <w:iCs/>
        </w:rPr>
        <w:t xml:space="preserve"> v United Kingdom</w:t>
      </w:r>
      <w:r>
        <w:t xml:space="preserve"> (1989) 11 EHRR 439</w:t>
      </w:r>
    </w:p>
  </w:footnote>
  <w:footnote w:id="15">
    <w:p w:rsidR="00F50EC2" w:rsidRDefault="00F50EC2" w:rsidP="00F11BA2">
      <w:pPr>
        <w:pStyle w:val="FootnoteText"/>
      </w:pPr>
      <w:r>
        <w:rPr>
          <w:rStyle w:val="FootnoteReference"/>
        </w:rPr>
        <w:footnoteRef/>
      </w:r>
      <w:r>
        <w:t xml:space="preserve"> </w:t>
      </w:r>
      <w:proofErr w:type="spellStart"/>
      <w:r>
        <w:rPr>
          <w:i/>
        </w:rPr>
        <w:t>Mamatkarov</w:t>
      </w:r>
      <w:proofErr w:type="spellEnd"/>
      <w:r>
        <w:rPr>
          <w:i/>
        </w:rPr>
        <w:t xml:space="preserve"> and </w:t>
      </w:r>
      <w:proofErr w:type="spellStart"/>
      <w:r>
        <w:rPr>
          <w:i/>
        </w:rPr>
        <w:t>Askarov</w:t>
      </w:r>
      <w:proofErr w:type="spellEnd"/>
      <w:r>
        <w:rPr>
          <w:i/>
        </w:rPr>
        <w:t xml:space="preserve"> v Turkey</w:t>
      </w:r>
      <w:r>
        <w:t xml:space="preserve">, </w:t>
      </w:r>
      <w:r w:rsidRPr="0046788B">
        <w:rPr>
          <w:rFonts w:asciiTheme="minorHAnsi" w:eastAsiaTheme="minorEastAsia" w:hAnsiTheme="minorHAnsi" w:cstheme="minorBidi"/>
          <w:lang w:eastAsia="zh-CN" w:bidi="he-IL"/>
        </w:rPr>
        <w:t xml:space="preserve">Application nos. </w:t>
      </w:r>
      <w:hyperlink r:id="rId3" w:anchor="%7B%22appno%22:[%2246827/99%22]%7D" w:tgtFrame="_blank" w:history="1">
        <w:r w:rsidRPr="0046788B">
          <w:rPr>
            <w:rFonts w:asciiTheme="minorHAnsi" w:eastAsiaTheme="minorEastAsia" w:hAnsiTheme="minorHAnsi" w:cstheme="minorBidi"/>
            <w:lang w:eastAsia="zh-CN" w:bidi="he-IL"/>
          </w:rPr>
          <w:t>46827/99</w:t>
        </w:r>
      </w:hyperlink>
      <w:r w:rsidRPr="0046788B">
        <w:rPr>
          <w:rFonts w:asciiTheme="minorHAnsi" w:eastAsiaTheme="minorEastAsia" w:hAnsiTheme="minorHAnsi" w:cstheme="minorBidi"/>
          <w:lang w:eastAsia="zh-CN" w:bidi="he-IL"/>
        </w:rPr>
        <w:t xml:space="preserve"> and </w:t>
      </w:r>
      <w:hyperlink r:id="rId4" w:anchor="%7B%22appno%22:[%2246951/99%22]%7D" w:tgtFrame="_blank" w:history="1">
        <w:r w:rsidRPr="0046788B">
          <w:rPr>
            <w:rFonts w:asciiTheme="minorHAnsi" w:eastAsiaTheme="minorEastAsia" w:hAnsiTheme="minorHAnsi" w:cstheme="minorBidi"/>
            <w:lang w:eastAsia="zh-CN" w:bidi="he-IL"/>
          </w:rPr>
          <w:t>46951/99</w:t>
        </w:r>
      </w:hyperlink>
      <w:r w:rsidRPr="0046788B">
        <w:t xml:space="preserve"> </w:t>
      </w:r>
      <w:proofErr w:type="spellStart"/>
      <w:r>
        <w:t>ECtHR</w:t>
      </w:r>
      <w:proofErr w:type="spellEnd"/>
      <w:r>
        <w:t xml:space="preserve"> 4 February 2005, </w:t>
      </w:r>
      <w:r w:rsidRPr="0046788B">
        <w:t xml:space="preserve">joint </w:t>
      </w:r>
      <w:r>
        <w:t xml:space="preserve">partly dissenting opinion of Judges </w:t>
      </w:r>
      <w:proofErr w:type="spellStart"/>
      <w:r>
        <w:t>Bratza</w:t>
      </w:r>
      <w:proofErr w:type="spellEnd"/>
      <w:r>
        <w:t xml:space="preserve">, </w:t>
      </w:r>
      <w:proofErr w:type="spellStart"/>
      <w:r>
        <w:t>Bonello</w:t>
      </w:r>
      <w:proofErr w:type="spellEnd"/>
      <w:r>
        <w:t xml:space="preserve"> and </w:t>
      </w:r>
      <w:proofErr w:type="spellStart"/>
      <w:r>
        <w:t>Hedigan</w:t>
      </w:r>
      <w:proofErr w:type="spellEnd"/>
      <w:r>
        <w:t>.</w:t>
      </w:r>
    </w:p>
  </w:footnote>
  <w:footnote w:id="16">
    <w:p w:rsidR="00F50EC2" w:rsidRDefault="00F50EC2" w:rsidP="00F93CF1">
      <w:pPr>
        <w:pStyle w:val="FootnoteText"/>
      </w:pPr>
      <w:r>
        <w:rPr>
          <w:rStyle w:val="FootnoteReference"/>
        </w:rPr>
        <w:footnoteRef/>
      </w:r>
      <w:r>
        <w:t xml:space="preserve"> </w:t>
      </w:r>
      <w:hyperlink r:id="rId5" w:history="1">
        <w:r w:rsidRPr="003E18C6">
          <w:rPr>
            <w:rStyle w:val="Hyperlink"/>
          </w:rPr>
          <w:t>http://www.guardian.co.uk/society/2013/may/19/legal-aid-cuts-homeless</w:t>
        </w:r>
      </w:hyperlink>
      <w:r>
        <w:t xml:space="preserve"> (accessed 3 June 2013)</w:t>
      </w:r>
    </w:p>
  </w:footnote>
  <w:footnote w:id="17">
    <w:p w:rsidR="00F50EC2" w:rsidRDefault="00F50EC2" w:rsidP="00F93CF1">
      <w:pPr>
        <w:pStyle w:val="FootnoteText"/>
      </w:pPr>
      <w:r>
        <w:rPr>
          <w:rStyle w:val="FootnoteReference"/>
        </w:rPr>
        <w:footnoteRef/>
      </w:r>
      <w:r>
        <w:t xml:space="preserve"> </w:t>
      </w:r>
      <w:hyperlink r:id="rId6" w:history="1">
        <w:r w:rsidRPr="003E18C6">
          <w:rPr>
            <w:rStyle w:val="Hyperlink"/>
          </w:rPr>
          <w:t>http://www.childrenssociety.org.uk/news-views/our-blog/further-cuts-legal-aid-affect-some-most-vulnerable-children</w:t>
        </w:r>
      </w:hyperlink>
      <w:r>
        <w:t xml:space="preserve"> (accessed 3 June 2013)</w:t>
      </w:r>
    </w:p>
  </w:footnote>
  <w:footnote w:id="18">
    <w:p w:rsidR="00F50EC2" w:rsidRDefault="00F50EC2" w:rsidP="00DB0F61">
      <w:pPr>
        <w:pStyle w:val="FootnoteText"/>
      </w:pPr>
      <w:r>
        <w:rPr>
          <w:rStyle w:val="FootnoteReference"/>
        </w:rPr>
        <w:footnoteRef/>
      </w:r>
      <w:r>
        <w:t xml:space="preserve"> See search results for ‘legal aid’ Universal Human Rights Index </w:t>
      </w:r>
      <w:hyperlink r:id="rId7" w:history="1">
        <w:r w:rsidRPr="00DB0F61">
          <w:rPr>
            <w:rStyle w:val="Hyperlink"/>
          </w:rPr>
          <w:t>http://uhri.ohchr.org/en</w:t>
        </w:r>
        <w:r w:rsidRPr="00F50EC2">
          <w:rPr>
            <w:rStyle w:val="Hyperlink"/>
            <w:color w:val="auto"/>
          </w:rPr>
          <w:t xml:space="preserve"> </w:t>
        </w:r>
        <w:r w:rsidRPr="00F50EC2">
          <w:rPr>
            <w:rStyle w:val="Hyperlink"/>
            <w:color w:val="auto"/>
            <w:u w:val="none"/>
          </w:rPr>
          <w:t>(3</w:t>
        </w:r>
      </w:hyperlink>
      <w:r>
        <w:t xml:space="preserve"> June 2013).</w:t>
      </w:r>
    </w:p>
  </w:footnote>
  <w:footnote w:id="19">
    <w:p w:rsidR="00F50EC2" w:rsidRDefault="00F50EC2" w:rsidP="00DB0F61">
      <w:pPr>
        <w:pStyle w:val="FootnoteText"/>
      </w:pPr>
      <w:r>
        <w:rPr>
          <w:rStyle w:val="FootnoteReference"/>
        </w:rPr>
        <w:footnoteRef/>
      </w:r>
      <w:r>
        <w:t xml:space="preserve"> Ibid.</w:t>
      </w:r>
    </w:p>
  </w:footnote>
  <w:footnote w:id="20">
    <w:p w:rsidR="00F50EC2" w:rsidRDefault="00F50EC2">
      <w:pPr>
        <w:pStyle w:val="FootnoteText"/>
      </w:pPr>
      <w:r>
        <w:rPr>
          <w:rStyle w:val="FootnoteReference"/>
        </w:rPr>
        <w:footnoteRef/>
      </w:r>
      <w:r>
        <w:t xml:space="preserve"> Art 15 of the Convention on Action Against Trafficking in Human Beings. </w:t>
      </w:r>
    </w:p>
  </w:footnote>
  <w:footnote w:id="21">
    <w:p w:rsidR="00F50EC2" w:rsidRDefault="00F50EC2">
      <w:pPr>
        <w:pStyle w:val="FootnoteText"/>
      </w:pPr>
      <w:r>
        <w:rPr>
          <w:rStyle w:val="FootnoteReference"/>
        </w:rPr>
        <w:footnoteRef/>
      </w:r>
      <w:r>
        <w:t xml:space="preserve"> Art 12 of the Trafficking Directive.</w:t>
      </w:r>
    </w:p>
  </w:footnote>
  <w:footnote w:id="22">
    <w:p w:rsidR="00F50EC2" w:rsidRDefault="00F50EC2">
      <w:pPr>
        <w:pStyle w:val="FootnoteText"/>
      </w:pPr>
      <w:r>
        <w:rPr>
          <w:rStyle w:val="FootnoteReference"/>
        </w:rPr>
        <w:footnoteRef/>
      </w:r>
      <w:r>
        <w:t xml:space="preserve"> </w:t>
      </w:r>
      <w:r w:rsidRPr="00072587">
        <w:rPr>
          <w:rFonts w:ascii="Times New Roman" w:eastAsia="Times New Roman" w:hAnsi="Times New Roman"/>
          <w:i/>
        </w:rPr>
        <w:t>ZH (Tanzania) v SSHD</w:t>
      </w:r>
      <w:r w:rsidRPr="00072587">
        <w:rPr>
          <w:rFonts w:ascii="Times New Roman" w:eastAsia="Times New Roman" w:hAnsi="Times New Roman"/>
        </w:rPr>
        <w:t xml:space="preserve"> [2011] UKSC 4, 1 February 2011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trackRevisions/>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038"/>
    <w:rsid w:val="0000692A"/>
    <w:rsid w:val="000148A3"/>
    <w:rsid w:val="00027E74"/>
    <w:rsid w:val="00047481"/>
    <w:rsid w:val="00054AE2"/>
    <w:rsid w:val="00056F2B"/>
    <w:rsid w:val="00072587"/>
    <w:rsid w:val="0009043B"/>
    <w:rsid w:val="00092625"/>
    <w:rsid w:val="000B41AC"/>
    <w:rsid w:val="000E3B16"/>
    <w:rsid w:val="00135EFE"/>
    <w:rsid w:val="00142525"/>
    <w:rsid w:val="001D7A82"/>
    <w:rsid w:val="001E3038"/>
    <w:rsid w:val="003529DD"/>
    <w:rsid w:val="00386A73"/>
    <w:rsid w:val="003939C2"/>
    <w:rsid w:val="003B6118"/>
    <w:rsid w:val="003E7C00"/>
    <w:rsid w:val="00401A67"/>
    <w:rsid w:val="004423D8"/>
    <w:rsid w:val="0044758B"/>
    <w:rsid w:val="0046788B"/>
    <w:rsid w:val="004B6681"/>
    <w:rsid w:val="004F1FCE"/>
    <w:rsid w:val="0052005A"/>
    <w:rsid w:val="005D30BA"/>
    <w:rsid w:val="00600F08"/>
    <w:rsid w:val="0069504D"/>
    <w:rsid w:val="006C1B9B"/>
    <w:rsid w:val="00777F7E"/>
    <w:rsid w:val="007B59B7"/>
    <w:rsid w:val="00937118"/>
    <w:rsid w:val="00945813"/>
    <w:rsid w:val="00962095"/>
    <w:rsid w:val="0098425C"/>
    <w:rsid w:val="00B82898"/>
    <w:rsid w:val="00C605B8"/>
    <w:rsid w:val="00C94923"/>
    <w:rsid w:val="00CB5203"/>
    <w:rsid w:val="00D2299E"/>
    <w:rsid w:val="00D3344A"/>
    <w:rsid w:val="00DA6E21"/>
    <w:rsid w:val="00DB0F61"/>
    <w:rsid w:val="00DD586F"/>
    <w:rsid w:val="00DE6813"/>
    <w:rsid w:val="00F11BA2"/>
    <w:rsid w:val="00F50EC2"/>
    <w:rsid w:val="00F93CF1"/>
    <w:rsid w:val="00FB26A2"/>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61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6118"/>
    <w:rPr>
      <w:rFonts w:ascii="Tahoma" w:hAnsi="Tahoma" w:cs="Tahoma"/>
      <w:sz w:val="16"/>
      <w:szCs w:val="16"/>
    </w:rPr>
  </w:style>
  <w:style w:type="character" w:styleId="CommentReference">
    <w:name w:val="annotation reference"/>
    <w:basedOn w:val="DefaultParagraphFont"/>
    <w:uiPriority w:val="99"/>
    <w:semiHidden/>
    <w:unhideWhenUsed/>
    <w:rsid w:val="003B6118"/>
    <w:rPr>
      <w:sz w:val="16"/>
      <w:szCs w:val="16"/>
    </w:rPr>
  </w:style>
  <w:style w:type="paragraph" w:styleId="CommentText">
    <w:name w:val="annotation text"/>
    <w:basedOn w:val="Normal"/>
    <w:link w:val="CommentTextChar"/>
    <w:uiPriority w:val="99"/>
    <w:semiHidden/>
    <w:unhideWhenUsed/>
    <w:rsid w:val="003B6118"/>
    <w:pPr>
      <w:spacing w:line="240" w:lineRule="auto"/>
    </w:pPr>
    <w:rPr>
      <w:sz w:val="20"/>
      <w:szCs w:val="20"/>
    </w:rPr>
  </w:style>
  <w:style w:type="character" w:customStyle="1" w:styleId="CommentTextChar">
    <w:name w:val="Comment Text Char"/>
    <w:basedOn w:val="DefaultParagraphFont"/>
    <w:link w:val="CommentText"/>
    <w:uiPriority w:val="99"/>
    <w:semiHidden/>
    <w:rsid w:val="003B6118"/>
    <w:rPr>
      <w:sz w:val="20"/>
      <w:szCs w:val="20"/>
    </w:rPr>
  </w:style>
  <w:style w:type="paragraph" w:styleId="CommentSubject">
    <w:name w:val="annotation subject"/>
    <w:basedOn w:val="CommentText"/>
    <w:next w:val="CommentText"/>
    <w:link w:val="CommentSubjectChar"/>
    <w:uiPriority w:val="99"/>
    <w:semiHidden/>
    <w:unhideWhenUsed/>
    <w:rsid w:val="003B6118"/>
    <w:rPr>
      <w:b/>
      <w:bCs/>
    </w:rPr>
  </w:style>
  <w:style w:type="character" w:customStyle="1" w:styleId="CommentSubjectChar">
    <w:name w:val="Comment Subject Char"/>
    <w:basedOn w:val="CommentTextChar"/>
    <w:link w:val="CommentSubject"/>
    <w:uiPriority w:val="99"/>
    <w:semiHidden/>
    <w:rsid w:val="003B6118"/>
    <w:rPr>
      <w:b/>
      <w:bCs/>
      <w:sz w:val="20"/>
      <w:szCs w:val="20"/>
    </w:rPr>
  </w:style>
  <w:style w:type="paragraph" w:customStyle="1" w:styleId="Default">
    <w:name w:val="Default"/>
    <w:rsid w:val="007B59B7"/>
    <w:pPr>
      <w:autoSpaceDE w:val="0"/>
      <w:autoSpaceDN w:val="0"/>
      <w:adjustRightInd w:val="0"/>
      <w:spacing w:after="0" w:line="240" w:lineRule="auto"/>
    </w:pPr>
    <w:rPr>
      <w:rFonts w:ascii="Arial" w:eastAsiaTheme="minorHAnsi" w:hAnsi="Arial" w:cs="Arial"/>
      <w:color w:val="000000"/>
      <w:sz w:val="24"/>
      <w:szCs w:val="24"/>
      <w:lang w:val="en-US" w:eastAsia="en-US" w:bidi="ar-SA"/>
    </w:rPr>
  </w:style>
  <w:style w:type="paragraph" w:styleId="FootnoteText">
    <w:name w:val="footnote text"/>
    <w:basedOn w:val="Normal"/>
    <w:link w:val="FootnoteTextChar"/>
    <w:uiPriority w:val="99"/>
    <w:unhideWhenUsed/>
    <w:rsid w:val="00DA6E21"/>
    <w:pPr>
      <w:spacing w:after="0" w:line="240" w:lineRule="auto"/>
    </w:pPr>
    <w:rPr>
      <w:rFonts w:ascii="Calibri" w:eastAsia="Calibri" w:hAnsi="Calibri" w:cs="Times New Roman"/>
      <w:sz w:val="20"/>
      <w:szCs w:val="20"/>
      <w:lang w:eastAsia="en-US" w:bidi="ar-SA"/>
    </w:rPr>
  </w:style>
  <w:style w:type="character" w:customStyle="1" w:styleId="FootnoteTextChar">
    <w:name w:val="Footnote Text Char"/>
    <w:basedOn w:val="DefaultParagraphFont"/>
    <w:link w:val="FootnoteText"/>
    <w:uiPriority w:val="99"/>
    <w:rsid w:val="00DA6E21"/>
    <w:rPr>
      <w:rFonts w:ascii="Calibri" w:eastAsia="Calibri" w:hAnsi="Calibri" w:cs="Times New Roman"/>
      <w:sz w:val="20"/>
      <w:szCs w:val="20"/>
      <w:lang w:eastAsia="en-US" w:bidi="ar-SA"/>
    </w:rPr>
  </w:style>
  <w:style w:type="character" w:styleId="FootnoteReference">
    <w:name w:val="footnote reference"/>
    <w:basedOn w:val="DefaultParagraphFont"/>
    <w:uiPriority w:val="99"/>
    <w:unhideWhenUsed/>
    <w:rsid w:val="00DA6E21"/>
    <w:rPr>
      <w:rFonts w:ascii="Times New Roman" w:hAnsi="Times New Roman" w:cs="Times New Roman" w:hint="default"/>
      <w:vertAlign w:val="superscript"/>
    </w:rPr>
  </w:style>
  <w:style w:type="paragraph" w:styleId="Header">
    <w:name w:val="header"/>
    <w:basedOn w:val="Normal"/>
    <w:link w:val="HeaderChar"/>
    <w:uiPriority w:val="99"/>
    <w:unhideWhenUsed/>
    <w:rsid w:val="000926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625"/>
  </w:style>
  <w:style w:type="paragraph" w:styleId="Footer">
    <w:name w:val="footer"/>
    <w:basedOn w:val="Normal"/>
    <w:link w:val="FooterChar"/>
    <w:uiPriority w:val="99"/>
    <w:unhideWhenUsed/>
    <w:rsid w:val="000926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625"/>
  </w:style>
  <w:style w:type="character" w:customStyle="1" w:styleId="head">
    <w:name w:val="head"/>
    <w:basedOn w:val="DefaultParagraphFont"/>
    <w:rsid w:val="00C605B8"/>
  </w:style>
  <w:style w:type="character" w:styleId="Hyperlink">
    <w:name w:val="Hyperlink"/>
    <w:basedOn w:val="DefaultParagraphFont"/>
    <w:uiPriority w:val="99"/>
    <w:unhideWhenUsed/>
    <w:rsid w:val="0044758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61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6118"/>
    <w:rPr>
      <w:rFonts w:ascii="Tahoma" w:hAnsi="Tahoma" w:cs="Tahoma"/>
      <w:sz w:val="16"/>
      <w:szCs w:val="16"/>
    </w:rPr>
  </w:style>
  <w:style w:type="character" w:styleId="CommentReference">
    <w:name w:val="annotation reference"/>
    <w:basedOn w:val="DefaultParagraphFont"/>
    <w:uiPriority w:val="99"/>
    <w:semiHidden/>
    <w:unhideWhenUsed/>
    <w:rsid w:val="003B6118"/>
    <w:rPr>
      <w:sz w:val="16"/>
      <w:szCs w:val="16"/>
    </w:rPr>
  </w:style>
  <w:style w:type="paragraph" w:styleId="CommentText">
    <w:name w:val="annotation text"/>
    <w:basedOn w:val="Normal"/>
    <w:link w:val="CommentTextChar"/>
    <w:uiPriority w:val="99"/>
    <w:semiHidden/>
    <w:unhideWhenUsed/>
    <w:rsid w:val="003B6118"/>
    <w:pPr>
      <w:spacing w:line="240" w:lineRule="auto"/>
    </w:pPr>
    <w:rPr>
      <w:sz w:val="20"/>
      <w:szCs w:val="20"/>
    </w:rPr>
  </w:style>
  <w:style w:type="character" w:customStyle="1" w:styleId="CommentTextChar">
    <w:name w:val="Comment Text Char"/>
    <w:basedOn w:val="DefaultParagraphFont"/>
    <w:link w:val="CommentText"/>
    <w:uiPriority w:val="99"/>
    <w:semiHidden/>
    <w:rsid w:val="003B6118"/>
    <w:rPr>
      <w:sz w:val="20"/>
      <w:szCs w:val="20"/>
    </w:rPr>
  </w:style>
  <w:style w:type="paragraph" w:styleId="CommentSubject">
    <w:name w:val="annotation subject"/>
    <w:basedOn w:val="CommentText"/>
    <w:next w:val="CommentText"/>
    <w:link w:val="CommentSubjectChar"/>
    <w:uiPriority w:val="99"/>
    <w:semiHidden/>
    <w:unhideWhenUsed/>
    <w:rsid w:val="003B6118"/>
    <w:rPr>
      <w:b/>
      <w:bCs/>
    </w:rPr>
  </w:style>
  <w:style w:type="character" w:customStyle="1" w:styleId="CommentSubjectChar">
    <w:name w:val="Comment Subject Char"/>
    <w:basedOn w:val="CommentTextChar"/>
    <w:link w:val="CommentSubject"/>
    <w:uiPriority w:val="99"/>
    <w:semiHidden/>
    <w:rsid w:val="003B6118"/>
    <w:rPr>
      <w:b/>
      <w:bCs/>
      <w:sz w:val="20"/>
      <w:szCs w:val="20"/>
    </w:rPr>
  </w:style>
  <w:style w:type="paragraph" w:customStyle="1" w:styleId="Default">
    <w:name w:val="Default"/>
    <w:rsid w:val="007B59B7"/>
    <w:pPr>
      <w:autoSpaceDE w:val="0"/>
      <w:autoSpaceDN w:val="0"/>
      <w:adjustRightInd w:val="0"/>
      <w:spacing w:after="0" w:line="240" w:lineRule="auto"/>
    </w:pPr>
    <w:rPr>
      <w:rFonts w:ascii="Arial" w:eastAsiaTheme="minorHAnsi" w:hAnsi="Arial" w:cs="Arial"/>
      <w:color w:val="000000"/>
      <w:sz w:val="24"/>
      <w:szCs w:val="24"/>
      <w:lang w:val="en-US" w:eastAsia="en-US" w:bidi="ar-SA"/>
    </w:rPr>
  </w:style>
  <w:style w:type="paragraph" w:styleId="FootnoteText">
    <w:name w:val="footnote text"/>
    <w:basedOn w:val="Normal"/>
    <w:link w:val="FootnoteTextChar"/>
    <w:uiPriority w:val="99"/>
    <w:unhideWhenUsed/>
    <w:rsid w:val="00DA6E21"/>
    <w:pPr>
      <w:spacing w:after="0" w:line="240" w:lineRule="auto"/>
    </w:pPr>
    <w:rPr>
      <w:rFonts w:ascii="Calibri" w:eastAsia="Calibri" w:hAnsi="Calibri" w:cs="Times New Roman"/>
      <w:sz w:val="20"/>
      <w:szCs w:val="20"/>
      <w:lang w:eastAsia="en-US" w:bidi="ar-SA"/>
    </w:rPr>
  </w:style>
  <w:style w:type="character" w:customStyle="1" w:styleId="FootnoteTextChar">
    <w:name w:val="Footnote Text Char"/>
    <w:basedOn w:val="DefaultParagraphFont"/>
    <w:link w:val="FootnoteText"/>
    <w:uiPriority w:val="99"/>
    <w:rsid w:val="00DA6E21"/>
    <w:rPr>
      <w:rFonts w:ascii="Calibri" w:eastAsia="Calibri" w:hAnsi="Calibri" w:cs="Times New Roman"/>
      <w:sz w:val="20"/>
      <w:szCs w:val="20"/>
      <w:lang w:eastAsia="en-US" w:bidi="ar-SA"/>
    </w:rPr>
  </w:style>
  <w:style w:type="character" w:styleId="FootnoteReference">
    <w:name w:val="footnote reference"/>
    <w:basedOn w:val="DefaultParagraphFont"/>
    <w:uiPriority w:val="99"/>
    <w:unhideWhenUsed/>
    <w:rsid w:val="00DA6E21"/>
    <w:rPr>
      <w:rFonts w:ascii="Times New Roman" w:hAnsi="Times New Roman" w:cs="Times New Roman" w:hint="default"/>
      <w:vertAlign w:val="superscript"/>
    </w:rPr>
  </w:style>
  <w:style w:type="paragraph" w:styleId="Header">
    <w:name w:val="header"/>
    <w:basedOn w:val="Normal"/>
    <w:link w:val="HeaderChar"/>
    <w:uiPriority w:val="99"/>
    <w:unhideWhenUsed/>
    <w:rsid w:val="000926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625"/>
  </w:style>
  <w:style w:type="paragraph" w:styleId="Footer">
    <w:name w:val="footer"/>
    <w:basedOn w:val="Normal"/>
    <w:link w:val="FooterChar"/>
    <w:uiPriority w:val="99"/>
    <w:unhideWhenUsed/>
    <w:rsid w:val="000926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625"/>
  </w:style>
  <w:style w:type="character" w:customStyle="1" w:styleId="head">
    <w:name w:val="head"/>
    <w:basedOn w:val="DefaultParagraphFont"/>
    <w:rsid w:val="00C605B8"/>
  </w:style>
  <w:style w:type="character" w:styleId="Hyperlink">
    <w:name w:val="Hyperlink"/>
    <w:basedOn w:val="DefaultParagraphFont"/>
    <w:uiPriority w:val="99"/>
    <w:unhideWhenUsed/>
    <w:rsid w:val="0044758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452670">
      <w:bodyDiv w:val="1"/>
      <w:marLeft w:val="0"/>
      <w:marRight w:val="0"/>
      <w:marTop w:val="0"/>
      <w:marBottom w:val="0"/>
      <w:divBdr>
        <w:top w:val="none" w:sz="0" w:space="0" w:color="auto"/>
        <w:left w:val="none" w:sz="0" w:space="0" w:color="auto"/>
        <w:bottom w:val="none" w:sz="0" w:space="0" w:color="auto"/>
        <w:right w:val="none" w:sz="0" w:space="0" w:color="auto"/>
      </w:divBdr>
      <w:divsChild>
        <w:div w:id="507788634">
          <w:marLeft w:val="0"/>
          <w:marRight w:val="0"/>
          <w:marTop w:val="0"/>
          <w:marBottom w:val="0"/>
          <w:divBdr>
            <w:top w:val="none" w:sz="0" w:space="0" w:color="auto"/>
            <w:left w:val="none" w:sz="0" w:space="0" w:color="auto"/>
            <w:bottom w:val="none" w:sz="0" w:space="0" w:color="auto"/>
            <w:right w:val="none" w:sz="0" w:space="0" w:color="auto"/>
          </w:divBdr>
          <w:divsChild>
            <w:div w:id="402996592">
              <w:marLeft w:val="0"/>
              <w:marRight w:val="0"/>
              <w:marTop w:val="300"/>
              <w:marBottom w:val="300"/>
              <w:divBdr>
                <w:top w:val="none" w:sz="0" w:space="0" w:color="auto"/>
                <w:left w:val="none" w:sz="0" w:space="0" w:color="auto"/>
                <w:bottom w:val="none" w:sz="0" w:space="0" w:color="auto"/>
                <w:right w:val="none" w:sz="0" w:space="0" w:color="auto"/>
              </w:divBdr>
              <w:divsChild>
                <w:div w:id="1905677262">
                  <w:marLeft w:val="0"/>
                  <w:marRight w:val="0"/>
                  <w:marTop w:val="0"/>
                  <w:marBottom w:val="0"/>
                  <w:divBdr>
                    <w:top w:val="none" w:sz="0" w:space="0" w:color="auto"/>
                    <w:left w:val="none" w:sz="0" w:space="0" w:color="auto"/>
                    <w:bottom w:val="none" w:sz="0" w:space="0" w:color="auto"/>
                    <w:right w:val="none" w:sz="0" w:space="0" w:color="auto"/>
                  </w:divBdr>
                  <w:divsChild>
                    <w:div w:id="645400106">
                      <w:marLeft w:val="0"/>
                      <w:marRight w:val="0"/>
                      <w:marTop w:val="0"/>
                      <w:marBottom w:val="0"/>
                      <w:divBdr>
                        <w:top w:val="none" w:sz="0" w:space="0" w:color="auto"/>
                        <w:left w:val="none" w:sz="0" w:space="0" w:color="auto"/>
                        <w:bottom w:val="none" w:sz="0" w:space="0" w:color="auto"/>
                        <w:right w:val="none" w:sz="0" w:space="0" w:color="auto"/>
                      </w:divBdr>
                      <w:divsChild>
                        <w:div w:id="564071059">
                          <w:marLeft w:val="0"/>
                          <w:marRight w:val="0"/>
                          <w:marTop w:val="0"/>
                          <w:marBottom w:val="0"/>
                          <w:divBdr>
                            <w:top w:val="none" w:sz="0" w:space="0" w:color="auto"/>
                            <w:left w:val="none" w:sz="0" w:space="0" w:color="auto"/>
                            <w:bottom w:val="none" w:sz="0" w:space="0" w:color="auto"/>
                            <w:right w:val="none" w:sz="0" w:space="0" w:color="auto"/>
                          </w:divBdr>
                          <w:divsChild>
                            <w:div w:id="477843746">
                              <w:marLeft w:val="0"/>
                              <w:marRight w:val="0"/>
                              <w:marTop w:val="0"/>
                              <w:marBottom w:val="0"/>
                              <w:divBdr>
                                <w:top w:val="none" w:sz="0" w:space="0" w:color="auto"/>
                                <w:left w:val="none" w:sz="0" w:space="0" w:color="auto"/>
                                <w:bottom w:val="none" w:sz="0" w:space="0" w:color="auto"/>
                                <w:right w:val="none" w:sz="0" w:space="0" w:color="auto"/>
                              </w:divBdr>
                              <w:divsChild>
                                <w:div w:id="263735338">
                                  <w:marLeft w:val="0"/>
                                  <w:marRight w:val="0"/>
                                  <w:marTop w:val="0"/>
                                  <w:marBottom w:val="0"/>
                                  <w:divBdr>
                                    <w:top w:val="none" w:sz="0" w:space="0" w:color="auto"/>
                                    <w:left w:val="none" w:sz="0" w:space="0" w:color="auto"/>
                                    <w:bottom w:val="none" w:sz="0" w:space="0" w:color="auto"/>
                                    <w:right w:val="none" w:sz="0" w:space="0" w:color="auto"/>
                                  </w:divBdr>
                                  <w:divsChild>
                                    <w:div w:id="967901434">
                                      <w:marLeft w:val="0"/>
                                      <w:marRight w:val="0"/>
                                      <w:marTop w:val="0"/>
                                      <w:marBottom w:val="0"/>
                                      <w:divBdr>
                                        <w:top w:val="none" w:sz="0" w:space="0" w:color="auto"/>
                                        <w:left w:val="none" w:sz="0" w:space="0" w:color="auto"/>
                                        <w:bottom w:val="none" w:sz="0" w:space="0" w:color="auto"/>
                                        <w:right w:val="none" w:sz="0" w:space="0" w:color="auto"/>
                                      </w:divBdr>
                                      <w:divsChild>
                                        <w:div w:id="1800996562">
                                          <w:marLeft w:val="0"/>
                                          <w:marRight w:val="0"/>
                                          <w:marTop w:val="0"/>
                                          <w:marBottom w:val="0"/>
                                          <w:divBdr>
                                            <w:top w:val="none" w:sz="0" w:space="0" w:color="auto"/>
                                            <w:left w:val="none" w:sz="0" w:space="0" w:color="auto"/>
                                            <w:bottom w:val="none" w:sz="0" w:space="0" w:color="auto"/>
                                            <w:right w:val="none" w:sz="0" w:space="0" w:color="auto"/>
                                          </w:divBdr>
                                          <w:divsChild>
                                            <w:div w:id="1603148805">
                                              <w:marLeft w:val="0"/>
                                              <w:marRight w:val="0"/>
                                              <w:marTop w:val="0"/>
                                              <w:marBottom w:val="0"/>
                                              <w:divBdr>
                                                <w:top w:val="none" w:sz="0" w:space="0" w:color="auto"/>
                                                <w:left w:val="none" w:sz="0" w:space="0" w:color="auto"/>
                                                <w:bottom w:val="none" w:sz="0" w:space="0" w:color="auto"/>
                                                <w:right w:val="none" w:sz="0" w:space="0" w:color="auto"/>
                                              </w:divBdr>
                                              <w:divsChild>
                                                <w:div w:id="2086293328">
                                                  <w:marLeft w:val="0"/>
                                                  <w:marRight w:val="0"/>
                                                  <w:marTop w:val="0"/>
                                                  <w:marBottom w:val="0"/>
                                                  <w:divBdr>
                                                    <w:top w:val="none" w:sz="0" w:space="0" w:color="auto"/>
                                                    <w:left w:val="none" w:sz="0" w:space="0" w:color="auto"/>
                                                    <w:bottom w:val="none" w:sz="0" w:space="0" w:color="auto"/>
                                                    <w:right w:val="none" w:sz="0" w:space="0" w:color="auto"/>
                                                  </w:divBdr>
                                                  <w:divsChild>
                                                    <w:div w:id="161047582">
                                                      <w:marLeft w:val="0"/>
                                                      <w:marRight w:val="0"/>
                                                      <w:marTop w:val="0"/>
                                                      <w:marBottom w:val="0"/>
                                                      <w:divBdr>
                                                        <w:top w:val="none" w:sz="0" w:space="0" w:color="auto"/>
                                                        <w:left w:val="none" w:sz="0" w:space="0" w:color="auto"/>
                                                        <w:bottom w:val="none" w:sz="0" w:space="0" w:color="auto"/>
                                                        <w:right w:val="none" w:sz="0" w:space="0" w:color="auto"/>
                                                      </w:divBdr>
                                                      <w:divsChild>
                                                        <w:div w:id="980304043">
                                                          <w:marLeft w:val="0"/>
                                                          <w:marRight w:val="0"/>
                                                          <w:marTop w:val="0"/>
                                                          <w:marBottom w:val="0"/>
                                                          <w:divBdr>
                                                            <w:top w:val="none" w:sz="0" w:space="0" w:color="auto"/>
                                                            <w:left w:val="none" w:sz="0" w:space="0" w:color="auto"/>
                                                            <w:bottom w:val="none" w:sz="0" w:space="0" w:color="auto"/>
                                                            <w:right w:val="none" w:sz="0" w:space="0" w:color="auto"/>
                                                          </w:divBdr>
                                                          <w:divsChild>
                                                            <w:div w:id="995300605">
                                                              <w:marLeft w:val="0"/>
                                                              <w:marRight w:val="0"/>
                                                              <w:marTop w:val="0"/>
                                                              <w:marBottom w:val="0"/>
                                                              <w:divBdr>
                                                                <w:top w:val="none" w:sz="0" w:space="0" w:color="auto"/>
                                                                <w:left w:val="none" w:sz="0" w:space="0" w:color="auto"/>
                                                                <w:bottom w:val="none" w:sz="0" w:space="0" w:color="auto"/>
                                                                <w:right w:val="none" w:sz="0" w:space="0" w:color="auto"/>
                                                              </w:divBdr>
                                                              <w:divsChild>
                                                                <w:div w:id="2140107175">
                                                                  <w:marLeft w:val="0"/>
                                                                  <w:marRight w:val="0"/>
                                                                  <w:marTop w:val="450"/>
                                                                  <w:marBottom w:val="450"/>
                                                                  <w:divBdr>
                                                                    <w:top w:val="none" w:sz="0" w:space="0" w:color="auto"/>
                                                                    <w:left w:val="none" w:sz="0" w:space="0" w:color="auto"/>
                                                                    <w:bottom w:val="none" w:sz="0" w:space="0" w:color="auto"/>
                                                                    <w:right w:val="none" w:sz="0" w:space="0" w:color="auto"/>
                                                                  </w:divBdr>
                                                                  <w:divsChild>
                                                                    <w:div w:id="143474562">
                                                                      <w:marLeft w:val="0"/>
                                                                      <w:marRight w:val="0"/>
                                                                      <w:marTop w:val="0"/>
                                                                      <w:marBottom w:val="0"/>
                                                                      <w:divBdr>
                                                                        <w:top w:val="none" w:sz="0" w:space="0" w:color="auto"/>
                                                                        <w:left w:val="none" w:sz="0" w:space="0" w:color="auto"/>
                                                                        <w:bottom w:val="none" w:sz="0" w:space="0" w:color="auto"/>
                                                                        <w:right w:val="none" w:sz="0" w:space="0" w:color="auto"/>
                                                                      </w:divBdr>
                                                                      <w:divsChild>
                                                                        <w:div w:id="1119564640">
                                                                          <w:marLeft w:val="0"/>
                                                                          <w:marRight w:val="0"/>
                                                                          <w:marTop w:val="0"/>
                                                                          <w:marBottom w:val="0"/>
                                                                          <w:divBdr>
                                                                            <w:top w:val="none" w:sz="0" w:space="0" w:color="auto"/>
                                                                            <w:left w:val="none" w:sz="0" w:space="0" w:color="auto"/>
                                                                            <w:bottom w:val="none" w:sz="0" w:space="0" w:color="auto"/>
                                                                            <w:right w:val="none" w:sz="0" w:space="0" w:color="auto"/>
                                                                          </w:divBdr>
                                                                          <w:divsChild>
                                                                            <w:div w:id="1303003185">
                                                                              <w:marLeft w:val="0"/>
                                                                              <w:marRight w:val="0"/>
                                                                              <w:marTop w:val="0"/>
                                                                              <w:marBottom w:val="0"/>
                                                                              <w:divBdr>
                                                                                <w:top w:val="none" w:sz="0" w:space="0" w:color="auto"/>
                                                                                <w:left w:val="none" w:sz="0" w:space="0" w:color="auto"/>
                                                                                <w:bottom w:val="none" w:sz="0" w:space="0" w:color="auto"/>
                                                                                <w:right w:val="none" w:sz="0" w:space="0" w:color="auto"/>
                                                                              </w:divBdr>
                                                                              <w:divsChild>
                                                                                <w:div w:id="2081630910">
                                                                                  <w:marLeft w:val="-300"/>
                                                                                  <w:marRight w:val="-300"/>
                                                                                  <w:marTop w:val="0"/>
                                                                                  <w:marBottom w:val="300"/>
                                                                                  <w:divBdr>
                                                                                    <w:top w:val="single" w:sz="24" w:space="0" w:color="auto"/>
                                                                                    <w:left w:val="single" w:sz="24" w:space="0" w:color="auto"/>
                                                                                    <w:bottom w:val="single" w:sz="24" w:space="0" w:color="auto"/>
                                                                                    <w:right w:val="single" w:sz="24" w:space="0" w:color="auto"/>
                                                                                  </w:divBdr>
                                                                                  <w:divsChild>
                                                                                    <w:div w:id="1707751127">
                                                                                      <w:marLeft w:val="0"/>
                                                                                      <w:marRight w:val="0"/>
                                                                                      <w:marTop w:val="0"/>
                                                                                      <w:marBottom w:val="0"/>
                                                                                      <w:divBdr>
                                                                                        <w:top w:val="none" w:sz="0" w:space="0" w:color="auto"/>
                                                                                        <w:left w:val="none" w:sz="0" w:space="0" w:color="auto"/>
                                                                                        <w:bottom w:val="none" w:sz="0" w:space="0" w:color="auto"/>
                                                                                        <w:right w:val="none" w:sz="0" w:space="0" w:color="auto"/>
                                                                                      </w:divBdr>
                                                                                      <w:divsChild>
                                                                                        <w:div w:id="790436288">
                                                                                          <w:marLeft w:val="0"/>
                                                                                          <w:marRight w:val="0"/>
                                                                                          <w:marTop w:val="0"/>
                                                                                          <w:marBottom w:val="0"/>
                                                                                          <w:divBdr>
                                                                                            <w:top w:val="single" w:sz="6" w:space="11" w:color="DBDBDB"/>
                                                                                            <w:left w:val="single" w:sz="6" w:space="15" w:color="DBDBDB"/>
                                                                                            <w:bottom w:val="single" w:sz="6" w:space="11" w:color="DBDBDB"/>
                                                                                            <w:right w:val="single" w:sz="6" w:space="15" w:color="DBDBDB"/>
                                                                                          </w:divBdr>
                                                                                          <w:divsChild>
                                                                                            <w:div w:id="1106193222">
                                                                                              <w:marLeft w:val="0"/>
                                                                                              <w:marRight w:val="0"/>
                                                                                              <w:marTop w:val="0"/>
                                                                                              <w:marBottom w:val="0"/>
                                                                                              <w:divBdr>
                                                                                                <w:top w:val="none" w:sz="0" w:space="0" w:color="auto"/>
                                                                                                <w:left w:val="none" w:sz="0" w:space="0" w:color="auto"/>
                                                                                                <w:bottom w:val="none" w:sz="0" w:space="0" w:color="auto"/>
                                                                                                <w:right w:val="none" w:sz="0" w:space="0" w:color="auto"/>
                                                                                              </w:divBdr>
                                                                                              <w:divsChild>
                                                                                                <w:div w:id="1845126356">
                                                                                                  <w:marLeft w:val="0"/>
                                                                                                  <w:marRight w:val="0"/>
                                                                                                  <w:marTop w:val="0"/>
                                                                                                  <w:marBottom w:val="0"/>
                                                                                                  <w:divBdr>
                                                                                                    <w:top w:val="none" w:sz="0" w:space="0" w:color="auto"/>
                                                                                                    <w:left w:val="none" w:sz="0" w:space="0" w:color="auto"/>
                                                                                                    <w:bottom w:val="none" w:sz="0" w:space="0" w:color="auto"/>
                                                                                                    <w:right w:val="none" w:sz="0" w:space="0" w:color="auto"/>
                                                                                                  </w:divBdr>
                                                                                                  <w:divsChild>
                                                                                                    <w:div w:id="970750270">
                                                                                                      <w:marLeft w:val="0"/>
                                                                                                      <w:marRight w:val="0"/>
                                                                                                      <w:marTop w:val="0"/>
                                                                                                      <w:marBottom w:val="0"/>
                                                                                                      <w:divBdr>
                                                                                                        <w:top w:val="none" w:sz="0" w:space="0" w:color="auto"/>
                                                                                                        <w:left w:val="none" w:sz="0" w:space="0" w:color="auto"/>
                                                                                                        <w:bottom w:val="none" w:sz="0" w:space="0" w:color="auto"/>
                                                                                                        <w:right w:val="none" w:sz="0" w:space="0" w:color="auto"/>
                                                                                                      </w:divBdr>
                                                                                                      <w:divsChild>
                                                                                                        <w:div w:id="46238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0970426">
      <w:bodyDiv w:val="1"/>
      <w:marLeft w:val="0"/>
      <w:marRight w:val="0"/>
      <w:marTop w:val="0"/>
      <w:marBottom w:val="0"/>
      <w:divBdr>
        <w:top w:val="none" w:sz="0" w:space="0" w:color="auto"/>
        <w:left w:val="none" w:sz="0" w:space="0" w:color="auto"/>
        <w:bottom w:val="none" w:sz="0" w:space="0" w:color="auto"/>
        <w:right w:val="none" w:sz="0" w:space="0" w:color="auto"/>
      </w:divBdr>
      <w:divsChild>
        <w:div w:id="1677032247">
          <w:marLeft w:val="0"/>
          <w:marRight w:val="0"/>
          <w:marTop w:val="0"/>
          <w:marBottom w:val="0"/>
          <w:divBdr>
            <w:top w:val="none" w:sz="0" w:space="0" w:color="auto"/>
            <w:left w:val="none" w:sz="0" w:space="0" w:color="auto"/>
            <w:bottom w:val="none" w:sz="0" w:space="0" w:color="auto"/>
            <w:right w:val="none" w:sz="0" w:space="0" w:color="auto"/>
          </w:divBdr>
        </w:div>
        <w:div w:id="481240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hudoc.echr.coe.int/sites/fra/pages/search.aspx" TargetMode="External"/><Relationship Id="rId7" Type="http://schemas.openxmlformats.org/officeDocument/2006/relationships/hyperlink" Target="http://uhri.ohchr.org/en%20(3" TargetMode="External"/><Relationship Id="rId2" Type="http://schemas.openxmlformats.org/officeDocument/2006/relationships/hyperlink" Target="http://www.ohchr.org/EN/NewsEvents/Pages/DisplayNews.aspx?NewsID=13382&amp;LangID=E" TargetMode="External"/><Relationship Id="rId1" Type="http://schemas.openxmlformats.org/officeDocument/2006/relationships/hyperlink" Target="http://www.sussex.ac.uk/crrl/" TargetMode="External"/><Relationship Id="rId6" Type="http://schemas.openxmlformats.org/officeDocument/2006/relationships/hyperlink" Target="http://www.childrenssociety.org.uk/news-views/our-blog/further-cuts-legal-aid-affect-some-most-vulnerable-children" TargetMode="External"/><Relationship Id="rId5" Type="http://schemas.openxmlformats.org/officeDocument/2006/relationships/hyperlink" Target="http://www.guardian.co.uk/society/2013/may/19/legal-aid-cuts-homeless" TargetMode="External"/><Relationship Id="rId4" Type="http://schemas.openxmlformats.org/officeDocument/2006/relationships/hyperlink" Target="http://hudoc.echr.coe.int/sites/fra/pages/search.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1F266B-8FDC-4725-949A-F638A18BA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66B7656D</Template>
  <TotalTime>0</TotalTime>
  <Pages>7</Pages>
  <Words>2606</Words>
  <Characters>14857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17429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Craig</dc:creator>
  <cp:lastModifiedBy>Elizabeth Craig</cp:lastModifiedBy>
  <cp:revision>6</cp:revision>
  <cp:lastPrinted>2013-06-04T18:04:00Z</cp:lastPrinted>
  <dcterms:created xsi:type="dcterms:W3CDTF">2013-06-04T17:46:00Z</dcterms:created>
  <dcterms:modified xsi:type="dcterms:W3CDTF">2013-06-06T17:21:00Z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2075487933</vt:i4>
  </property>
  <property fmtid="{D5CDD505-2E9C-101B-9397-08002B2CF9AE}" pid="3" name="_NewReviewCycle">
    <vt:lpwstr/>
  </property>
  <property fmtid="{D5CDD505-2E9C-101B-9397-08002B2CF9AE}" pid="4" name="_EmailSubject">
    <vt:lpwstr>Response to MoJ Legal Aid Consultation Paper</vt:lpwstr>
  </property>
  <property fmtid="{D5CDD505-2E9C-101B-9397-08002B2CF9AE}" pid="5" name="_AuthorEmail">
    <vt:lpwstr>emc22@sussex.ac.uk</vt:lpwstr>
  </property>
  <property fmtid="{D5CDD505-2E9C-101B-9397-08002B2CF9AE}" pid="6" name="_AuthorEmailDisplayName">
    <vt:lpwstr>Elizabeth Craig</vt:lpwstr>
  </property>
  <property fmtid="{D5CDD505-2E9C-101B-9397-08002B2CF9AE}" pid="7" name="_PreviousAdHocReviewCycleID">
    <vt:i4>-542864135</vt:i4>
  </property>
</Properties>
</file>